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6"/>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51E662A0" w14:textId="77777777" w:rsidR="009B3DEB" w:rsidRPr="009F286A" w:rsidRDefault="009B3DEB" w:rsidP="009B3DEB">
            <w:r>
              <w:t>10</w:t>
            </w:r>
            <w:r w:rsidRPr="00192054">
              <w:rPr>
                <w:vertAlign w:val="superscript"/>
              </w:rPr>
              <w:t>th</w:t>
            </w:r>
            <w:r>
              <w:t xml:space="preserve"> February 2022</w:t>
            </w:r>
          </w:p>
          <w:p w14:paraId="72FCD075" w14:textId="77777777" w:rsidR="00333FAA" w:rsidRPr="005E3A10" w:rsidRDefault="00333FAA" w:rsidP="00A53B04">
            <w:pPr>
              <w:rPr>
                <w:rFonts w:cs="Arial"/>
                <w:szCs w:val="24"/>
              </w:rPr>
            </w:pP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8F6DB26" w14:textId="77777777" w:rsidR="00333FAA" w:rsidRDefault="009B3DEB" w:rsidP="00A53B04">
            <w:pPr>
              <w:rPr>
                <w:rFonts w:cs="Arial"/>
                <w:bCs/>
                <w:szCs w:val="24"/>
              </w:rPr>
            </w:pPr>
            <w:bookmarkStart w:id="0" w:name="_Hlk92367125"/>
            <w:r>
              <w:rPr>
                <w:rFonts w:cs="Arial"/>
                <w:bCs/>
                <w:szCs w:val="24"/>
              </w:rPr>
              <w:t>Programmes and Services for Children and Young People in partnership with the Voluntary and Community Sector</w:t>
            </w:r>
          </w:p>
          <w:bookmarkEnd w:id="0"/>
          <w:p w14:paraId="6D8FB2C1" w14:textId="173E37FE" w:rsidR="009B3DEB" w:rsidRPr="005E3A10" w:rsidRDefault="009B3DEB"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F34B68A" w14:textId="57DCF417" w:rsidR="009B3DEB" w:rsidRPr="009B3DEB" w:rsidRDefault="001C7E35" w:rsidP="009B3DEB">
            <w:pPr>
              <w:rPr>
                <w:rFonts w:cs="Arial"/>
                <w:szCs w:val="24"/>
              </w:rPr>
            </w:pPr>
            <w:r w:rsidRPr="005E3A10">
              <w:rPr>
                <w:rFonts w:cs="Arial"/>
                <w:szCs w:val="24"/>
              </w:rPr>
              <w:t xml:space="preserve">Yes </w:t>
            </w:r>
            <w:r w:rsidR="009B3DEB">
              <w:rPr>
                <w:rFonts w:cs="Arial"/>
                <w:szCs w:val="24"/>
              </w:rPr>
              <w:t xml:space="preserve">- </w:t>
            </w:r>
            <w:r w:rsidR="009B3DEB" w:rsidRPr="009B3DEB">
              <w:rPr>
                <w:rFonts w:cs="Arial"/>
                <w:szCs w:val="24"/>
              </w:rPr>
              <w:t xml:space="preserve">as the decision sought will affect more than two wards </w:t>
            </w:r>
          </w:p>
          <w:p w14:paraId="4AE49827" w14:textId="392CEEA5" w:rsidR="001C7E35" w:rsidRPr="005E3A10" w:rsidRDefault="001C7E35" w:rsidP="001C7E35">
            <w:pPr>
              <w:pStyle w:val="Infotext"/>
              <w:rPr>
                <w:rFonts w:cs="Arial"/>
                <w:color w:val="FF0000"/>
                <w:sz w:val="24"/>
                <w:szCs w:val="24"/>
              </w:rPr>
            </w:pP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0BF2D9AF" w:rsidR="001C7E35" w:rsidRPr="005E3A10" w:rsidRDefault="009B3DEB" w:rsidP="009B3DEB">
            <w:pPr>
              <w:pStyle w:val="Infotext"/>
              <w:rPr>
                <w:rFonts w:cs="Arial"/>
                <w:sz w:val="24"/>
                <w:szCs w:val="24"/>
              </w:rPr>
            </w:pPr>
            <w:r w:rsidRPr="009B3DEB">
              <w:rPr>
                <w:rFonts w:cs="Arial"/>
                <w:sz w:val="24"/>
                <w:szCs w:val="24"/>
              </w:rPr>
              <w:t>Paul Hewitt</w:t>
            </w:r>
            <w:r w:rsidR="00932343">
              <w:rPr>
                <w:rFonts w:cs="Arial"/>
                <w:sz w:val="24"/>
                <w:szCs w:val="24"/>
              </w:rPr>
              <w:t xml:space="preserve"> - </w:t>
            </w:r>
            <w:r w:rsidRPr="009B3DEB">
              <w:rPr>
                <w:rFonts w:cs="Arial"/>
                <w:sz w:val="24"/>
                <w:szCs w:val="24"/>
              </w:rPr>
              <w:t>Corporate Director People Services</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7E95CCFC" w:rsidR="009B3DEB" w:rsidRPr="005E3A10" w:rsidRDefault="00932343" w:rsidP="009B3DEB">
            <w:pPr>
              <w:pStyle w:val="Infotext"/>
              <w:rPr>
                <w:rFonts w:cs="Arial"/>
                <w:color w:val="FF0000"/>
                <w:sz w:val="24"/>
                <w:szCs w:val="24"/>
              </w:rPr>
            </w:pPr>
            <w:r>
              <w:rPr>
                <w:rFonts w:cs="Arial"/>
                <w:sz w:val="24"/>
                <w:szCs w:val="24"/>
              </w:rPr>
              <w:t xml:space="preserve">Councillor </w:t>
            </w:r>
            <w:r w:rsidR="009B3DEB" w:rsidRPr="009B3DEB">
              <w:rPr>
                <w:rFonts w:cs="Arial"/>
                <w:sz w:val="24"/>
                <w:szCs w:val="24"/>
              </w:rPr>
              <w:t>Christine Robson</w:t>
            </w:r>
            <w:r>
              <w:rPr>
                <w:rFonts w:cs="Arial"/>
                <w:sz w:val="24"/>
                <w:szCs w:val="24"/>
              </w:rPr>
              <w:t xml:space="preserve"> - </w:t>
            </w:r>
            <w:r w:rsidR="009B3DEB" w:rsidRPr="009B3DEB">
              <w:rPr>
                <w:rFonts w:cs="Arial"/>
                <w:sz w:val="24"/>
                <w:szCs w:val="24"/>
              </w:rPr>
              <w:t xml:space="preserve">Portfolio Holder for Education and Social Services for Children and Young </w:t>
            </w:r>
            <w:r w:rsidR="009B3DEB">
              <w:rPr>
                <w:rFonts w:cs="Arial"/>
                <w:sz w:val="24"/>
                <w:szCs w:val="24"/>
              </w:rPr>
              <w:t>People</w:t>
            </w:r>
          </w:p>
          <w:p w14:paraId="39A9A01A" w14:textId="00CE4195"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65674DC4"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9B3DEB">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2AA9B793" w:rsidR="00714BEE" w:rsidRPr="005E3A10" w:rsidRDefault="001C7E35" w:rsidP="009B3DEB">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57494531" w:rsidR="00307F76" w:rsidRPr="00307F76" w:rsidRDefault="00932343" w:rsidP="009B3DEB">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2F4A3F69" w:rsidR="001C7E35" w:rsidRPr="005E3A10" w:rsidRDefault="009B3DEB" w:rsidP="009B3DEB">
            <w:pPr>
              <w:pStyle w:val="Infotext"/>
              <w:rPr>
                <w:color w:val="FF0000"/>
                <w:sz w:val="24"/>
                <w:szCs w:val="24"/>
              </w:rPr>
            </w:pPr>
            <w:r>
              <w:rPr>
                <w:rFonts w:cs="Arial"/>
                <w:sz w:val="24"/>
                <w:szCs w:val="24"/>
              </w:rPr>
              <w:t xml:space="preserve">None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15"/>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058506C6" w14:textId="51A29625" w:rsidR="005A0A8C" w:rsidRPr="00524E02" w:rsidRDefault="005A0A8C" w:rsidP="005A0A8C">
            <w:pPr>
              <w:rPr>
                <w:rFonts w:cs="Arial"/>
                <w:color w:val="0000FF"/>
              </w:rPr>
            </w:pPr>
            <w:r w:rsidRPr="00524E02">
              <w:rPr>
                <w:rFonts w:cs="Arial"/>
                <w:lang w:val="en-US" w:eastAsia="ja-JP"/>
              </w:rPr>
              <w:t xml:space="preserve">This report sets out </w:t>
            </w:r>
            <w:r>
              <w:rPr>
                <w:rFonts w:cs="Arial"/>
                <w:lang w:val="en-US" w:eastAsia="ja-JP"/>
              </w:rPr>
              <w:t xml:space="preserve">the Council’s </w:t>
            </w:r>
            <w:r w:rsidRPr="00524E02">
              <w:rPr>
                <w:rFonts w:cs="Arial"/>
                <w:lang w:val="en-US" w:eastAsia="ja-JP"/>
              </w:rPr>
              <w:t>approach to coordinat</w:t>
            </w:r>
            <w:r>
              <w:rPr>
                <w:rFonts w:cs="Arial"/>
                <w:lang w:val="en-US" w:eastAsia="ja-JP"/>
              </w:rPr>
              <w:t xml:space="preserve">ing and delivering </w:t>
            </w:r>
            <w:r w:rsidR="00657A12">
              <w:rPr>
                <w:rFonts w:cs="Arial"/>
                <w:lang w:val="en-US" w:eastAsia="ja-JP"/>
              </w:rPr>
              <w:t xml:space="preserve">grant funded </w:t>
            </w:r>
            <w:r w:rsidR="0032657D">
              <w:rPr>
                <w:rFonts w:cs="Arial"/>
                <w:lang w:val="en-US" w:eastAsia="ja-JP"/>
              </w:rPr>
              <w:t>community service</w:t>
            </w:r>
            <w:r w:rsidR="00816480">
              <w:rPr>
                <w:rFonts w:cs="Arial"/>
                <w:lang w:val="en-US" w:eastAsia="ja-JP"/>
              </w:rPr>
              <w:t xml:space="preserve">s activities for children and young people </w:t>
            </w:r>
            <w:r w:rsidR="00CA3CAE">
              <w:rPr>
                <w:rFonts w:cs="Arial"/>
                <w:lang w:val="en-US" w:eastAsia="ja-JP"/>
              </w:rPr>
              <w:t xml:space="preserve">in partnership with the voluntary </w:t>
            </w:r>
            <w:r w:rsidR="00BA0541">
              <w:rPr>
                <w:rFonts w:cs="Arial"/>
                <w:lang w:val="en-US" w:eastAsia="ja-JP"/>
              </w:rPr>
              <w:t xml:space="preserve">and community </w:t>
            </w:r>
            <w:r w:rsidR="00CA3CAE">
              <w:rPr>
                <w:rFonts w:cs="Arial"/>
                <w:lang w:val="en-US" w:eastAsia="ja-JP"/>
              </w:rPr>
              <w:t xml:space="preserve">sector.  </w:t>
            </w:r>
            <w:r w:rsidRPr="00524E02">
              <w:rPr>
                <w:rFonts w:cs="Arial"/>
                <w:lang w:val="en-US" w:eastAsia="ja-JP"/>
              </w:rPr>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82C68FB" w:rsidR="001C7E35" w:rsidRDefault="001C7E35" w:rsidP="00605A4C">
            <w:r>
              <w:t>Cabinet is requested to:</w:t>
            </w:r>
          </w:p>
          <w:p w14:paraId="5AC462FD" w14:textId="77777777" w:rsidR="00B918FF" w:rsidRDefault="00B918FF" w:rsidP="00605A4C"/>
          <w:p w14:paraId="62C9342E" w14:textId="4BC7C93E" w:rsidR="004C5B98" w:rsidRPr="001A19AC" w:rsidRDefault="00111535" w:rsidP="004C5B98">
            <w:pPr>
              <w:pStyle w:val="ListParagraph"/>
              <w:numPr>
                <w:ilvl w:val="0"/>
                <w:numId w:val="5"/>
              </w:numPr>
            </w:pPr>
            <w:r w:rsidRPr="001A19AC">
              <w:t>A</w:t>
            </w:r>
            <w:r w:rsidR="0029639F" w:rsidRPr="001A19AC">
              <w:t xml:space="preserve">gree to </w:t>
            </w:r>
            <w:r w:rsidR="00B918FF" w:rsidRPr="001A19AC">
              <w:t xml:space="preserve">the </w:t>
            </w:r>
            <w:r w:rsidR="00FC4657" w:rsidRPr="001A19AC">
              <w:t xml:space="preserve">direct award </w:t>
            </w:r>
            <w:r w:rsidR="00B918FF" w:rsidRPr="001A19AC">
              <w:t xml:space="preserve">commissioning of Young Harrow Foundation to plan and deliver voluntary and community services activities for children and young people on behalf of </w:t>
            </w:r>
            <w:r w:rsidR="00B90053" w:rsidRPr="001A19AC">
              <w:t xml:space="preserve">and with </w:t>
            </w:r>
            <w:r w:rsidR="00B918FF" w:rsidRPr="001A19AC">
              <w:t>the Council</w:t>
            </w:r>
            <w:r w:rsidR="0030741F" w:rsidRPr="001A19AC">
              <w:t xml:space="preserve"> from April 2022 for up to three years</w:t>
            </w:r>
            <w:r w:rsidRPr="001A19AC">
              <w:t xml:space="preserve"> to a contract value of </w:t>
            </w:r>
            <w:r w:rsidR="00E752B7" w:rsidRPr="001A19AC">
              <w:t xml:space="preserve">       </w:t>
            </w:r>
            <w:r w:rsidR="0030741F" w:rsidRPr="001A19AC">
              <w:t>£213,477</w:t>
            </w:r>
            <w:r w:rsidR="00692907" w:rsidRPr="001A19AC">
              <w:t xml:space="preserve"> (inclusive of VAT)</w:t>
            </w:r>
            <w:r w:rsidRPr="001A19AC">
              <w:t xml:space="preserve">. </w:t>
            </w:r>
          </w:p>
          <w:p w14:paraId="49F92933" w14:textId="77777777" w:rsidR="004C5B98" w:rsidRPr="001A19AC" w:rsidRDefault="004C5B98" w:rsidP="004C5B98">
            <w:pPr>
              <w:pStyle w:val="ListParagraph"/>
            </w:pPr>
          </w:p>
          <w:p w14:paraId="4820239E" w14:textId="67DF3D97" w:rsidR="00B21CFA" w:rsidRPr="00EA7657" w:rsidRDefault="006E349A" w:rsidP="00B21CFA">
            <w:pPr>
              <w:pStyle w:val="ListParagraph"/>
              <w:numPr>
                <w:ilvl w:val="0"/>
                <w:numId w:val="5"/>
              </w:numPr>
            </w:pPr>
            <w:r w:rsidRPr="00EA7657">
              <w:t xml:space="preserve">Agree to </w:t>
            </w:r>
            <w:r w:rsidR="00B21CFA" w:rsidRPr="00EA7657">
              <w:t xml:space="preserve">waiving the requirement </w:t>
            </w:r>
            <w:r w:rsidR="005B0620" w:rsidRPr="00EA7657">
              <w:t xml:space="preserve">in the Council’s Contract Procedure Rules </w:t>
            </w:r>
            <w:r w:rsidR="00B21CFA" w:rsidRPr="00EA7657">
              <w:t xml:space="preserve">to undertake a tender process for commissioning this service. </w:t>
            </w:r>
          </w:p>
          <w:p w14:paraId="586A60F6" w14:textId="77777777" w:rsidR="00B21CFA" w:rsidRPr="00EA7657" w:rsidRDefault="00B21CFA" w:rsidP="006E349A"/>
          <w:p w14:paraId="674426FA" w14:textId="6E929EA0" w:rsidR="00AF3253" w:rsidRDefault="00AF3253" w:rsidP="00D37957">
            <w:pPr>
              <w:pStyle w:val="ListParagraph"/>
              <w:numPr>
                <w:ilvl w:val="0"/>
                <w:numId w:val="5"/>
              </w:numPr>
            </w:pPr>
            <w:r w:rsidRPr="00AF3253">
              <w:t xml:space="preserve">Delegate authority to the Corporate Director People Services </w:t>
            </w:r>
            <w:r w:rsidR="00932343">
              <w:t>following</w:t>
            </w:r>
            <w:r w:rsidR="00932343" w:rsidRPr="00AF3253">
              <w:t xml:space="preserve"> </w:t>
            </w:r>
            <w:r w:rsidRPr="00AF3253">
              <w:t xml:space="preserve">consultation with the </w:t>
            </w:r>
            <w:r w:rsidR="009C2150" w:rsidRPr="009C2150">
              <w:t>Portfolio Holder for Education and Social Services for Children and Young People</w:t>
            </w:r>
            <w:r w:rsidR="009C2150">
              <w:t xml:space="preserve"> </w:t>
            </w:r>
            <w:r w:rsidRPr="00AF3253">
              <w:t xml:space="preserve">and the Portfolio Holder for Finance and Resources to issue a direct award to Young Harrow Foundation (YHF) to coordinate the delivery and evaluation of the DfE funded Holiday Activities and Food Programme </w:t>
            </w:r>
            <w:r w:rsidR="002837D4">
              <w:t xml:space="preserve">and other grant funded activities </w:t>
            </w:r>
            <w:r w:rsidRPr="00AF3253">
              <w:t>on behalf of the Council</w:t>
            </w:r>
            <w:r w:rsidR="0030741F">
              <w:t xml:space="preserve"> and partners.</w:t>
            </w:r>
          </w:p>
          <w:p w14:paraId="1425463C" w14:textId="77777777" w:rsidR="00B918FF" w:rsidRDefault="00B918FF" w:rsidP="00605A4C"/>
          <w:p w14:paraId="061365F9" w14:textId="6F421EBE" w:rsidR="001C7E35" w:rsidRPr="004D2520" w:rsidRDefault="00E13BEF" w:rsidP="00304086">
            <w:pPr>
              <w:rPr>
                <w:b/>
                <w:bCs/>
              </w:rPr>
            </w:pPr>
            <w:r w:rsidRPr="004D2520">
              <w:rPr>
                <w:b/>
                <w:bCs/>
              </w:rPr>
              <w:t>Reason</w:t>
            </w:r>
            <w:r w:rsidR="00932343">
              <w:rPr>
                <w:b/>
                <w:bCs/>
              </w:rPr>
              <w:t>s (for the recommendations)</w:t>
            </w:r>
            <w:r w:rsidRPr="004D2520">
              <w:rPr>
                <w:b/>
                <w:bCs/>
              </w:rPr>
              <w:t xml:space="preserve">: </w:t>
            </w:r>
          </w:p>
          <w:p w14:paraId="5335159B" w14:textId="77777777" w:rsidR="00EF44D9" w:rsidRDefault="00EF44D9" w:rsidP="00304086">
            <w:pPr>
              <w:rPr>
                <w:color w:val="FF0000"/>
              </w:rPr>
            </w:pPr>
          </w:p>
          <w:p w14:paraId="32F39AE3" w14:textId="416FB442" w:rsidR="000578BB" w:rsidRPr="00EF44D9" w:rsidRDefault="00EF44D9" w:rsidP="00304086">
            <w:r w:rsidRPr="00EF44D9">
              <w:t xml:space="preserve">To fulfil the requirements for Local Authorities to provide </w:t>
            </w:r>
            <w:r w:rsidR="00AB77B5">
              <w:t xml:space="preserve">community services </w:t>
            </w:r>
            <w:r w:rsidRPr="00EF44D9">
              <w:t xml:space="preserve">activities </w:t>
            </w:r>
            <w:r w:rsidR="0030741F">
              <w:t xml:space="preserve">for children and young people and where applicable to meet </w:t>
            </w:r>
            <w:r w:rsidRPr="00EF44D9">
              <w:t>aims and objectives set out</w:t>
            </w:r>
            <w:r w:rsidR="00AB77B5">
              <w:t xml:space="preserve"> the grant funded agreements.  </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412D0881" w:rsidR="001C7E35" w:rsidRDefault="001C7E35" w:rsidP="00F06E4E">
      <w:pPr>
        <w:pStyle w:val="Heading3"/>
        <w:spacing w:before="240"/>
      </w:pPr>
      <w:r>
        <w:t>Introductory paragraph</w:t>
      </w:r>
    </w:p>
    <w:p w14:paraId="77AC1AE5" w14:textId="77777777" w:rsidR="00B40C9E" w:rsidRPr="00B40C9E" w:rsidRDefault="00B40C9E" w:rsidP="00B40C9E"/>
    <w:p w14:paraId="731459B0" w14:textId="684A0C6B" w:rsidR="0030741F" w:rsidRDefault="00A32004" w:rsidP="00B40C9E">
      <w:pPr>
        <w:pStyle w:val="ListParagraph"/>
        <w:numPr>
          <w:ilvl w:val="0"/>
          <w:numId w:val="15"/>
        </w:numPr>
      </w:pPr>
      <w:r w:rsidRPr="00E14E09">
        <w:t xml:space="preserve">This report sets out </w:t>
      </w:r>
      <w:r>
        <w:t xml:space="preserve">the Council’s </w:t>
      </w:r>
      <w:r w:rsidRPr="00E14E09">
        <w:t>approach to delivering</w:t>
      </w:r>
      <w:r w:rsidR="0024026A">
        <w:t xml:space="preserve"> grant funded</w:t>
      </w:r>
      <w:r w:rsidRPr="00E14E09">
        <w:t xml:space="preserve"> </w:t>
      </w:r>
      <w:r w:rsidR="00732A20">
        <w:t>p</w:t>
      </w:r>
      <w:r w:rsidR="009C0A90" w:rsidRPr="009C0A90">
        <w:t xml:space="preserve">rogrammes and </w:t>
      </w:r>
      <w:r w:rsidR="00732A20">
        <w:t>s</w:t>
      </w:r>
      <w:r w:rsidR="009C0A90" w:rsidRPr="009C0A90">
        <w:t xml:space="preserve">ervices for </w:t>
      </w:r>
      <w:r w:rsidR="00732A20">
        <w:t>c</w:t>
      </w:r>
      <w:r w:rsidR="009C0A90" w:rsidRPr="009C0A90">
        <w:t xml:space="preserve">hildren and </w:t>
      </w:r>
      <w:r w:rsidR="00732A20">
        <w:t>y</w:t>
      </w:r>
      <w:r w:rsidR="009C0A90" w:rsidRPr="009C0A90">
        <w:t xml:space="preserve">oung </w:t>
      </w:r>
      <w:r w:rsidR="00732A20">
        <w:t>p</w:t>
      </w:r>
      <w:r w:rsidR="009C0A90" w:rsidRPr="009C0A90">
        <w:t xml:space="preserve">eople in partnership with the </w:t>
      </w:r>
      <w:r w:rsidR="00732A20">
        <w:t>v</w:t>
      </w:r>
      <w:r w:rsidR="009C0A90" w:rsidRPr="009C0A90">
        <w:t xml:space="preserve">oluntary and </w:t>
      </w:r>
      <w:r w:rsidR="00732A20">
        <w:t>c</w:t>
      </w:r>
      <w:r w:rsidR="009C0A90" w:rsidRPr="009C0A90">
        <w:t xml:space="preserve">ommunity </w:t>
      </w:r>
      <w:r w:rsidR="00732A20">
        <w:t>s</w:t>
      </w:r>
      <w:r w:rsidR="009C0A90" w:rsidRPr="009C0A90">
        <w:t>ector</w:t>
      </w:r>
      <w:r w:rsidR="00243C72">
        <w:t xml:space="preserve">. </w:t>
      </w:r>
      <w:r w:rsidR="0030741F">
        <w:t>This approach builds on the pilot model</w:t>
      </w:r>
      <w:r w:rsidR="003E4B8E">
        <w:t>, agreed by Cabinet in March 2021,</w:t>
      </w:r>
      <w:r w:rsidR="0030741F">
        <w:t xml:space="preserve"> with the Council and Young Harrow Foundation </w:t>
      </w:r>
      <w:r w:rsidR="003E4B8E">
        <w:t xml:space="preserve">(YHF) </w:t>
      </w:r>
      <w:r w:rsidR="0030741F">
        <w:t>to deliver the Government’s</w:t>
      </w:r>
      <w:r w:rsidR="00243C72">
        <w:t xml:space="preserve"> </w:t>
      </w:r>
      <w:r w:rsidR="0030741F" w:rsidRPr="0030741F">
        <w:t>Holiday Activities and Food Programme (HAF) 2020/21.</w:t>
      </w:r>
      <w:r w:rsidR="0030741F">
        <w:t xml:space="preserve"> </w:t>
      </w:r>
    </w:p>
    <w:p w14:paraId="6E6B2FCF" w14:textId="77777777" w:rsidR="00B40C9E" w:rsidRPr="0030741F" w:rsidRDefault="00B40C9E" w:rsidP="00B40C9E">
      <w:pPr>
        <w:pStyle w:val="ListParagraph"/>
        <w:ind w:left="360"/>
      </w:pPr>
    </w:p>
    <w:p w14:paraId="41788E84" w14:textId="20912659" w:rsidR="00A32004" w:rsidRPr="0030741F" w:rsidRDefault="0030741F" w:rsidP="00B40C9E">
      <w:pPr>
        <w:pStyle w:val="ListParagraph"/>
        <w:numPr>
          <w:ilvl w:val="0"/>
          <w:numId w:val="15"/>
        </w:numPr>
      </w:pPr>
      <w:r w:rsidRPr="0030741F">
        <w:t xml:space="preserve">In addition, it is proposed to extend this model to include the Government’s HAF Programme 2022/23 and other funding opportunities as </w:t>
      </w:r>
      <w:r w:rsidR="00692907">
        <w:t xml:space="preserve">and </w:t>
      </w:r>
      <w:r w:rsidRPr="0030741F">
        <w:t xml:space="preserve">when they arise. </w:t>
      </w:r>
      <w:r w:rsidR="00A32004" w:rsidRPr="0030741F">
        <w:t xml:space="preserve"> </w:t>
      </w:r>
      <w:r w:rsidR="003E4B8E">
        <w:t>Funding maybe grants to the Council</w:t>
      </w:r>
      <w:r w:rsidR="0041175B">
        <w:t>, council core funding</w:t>
      </w:r>
      <w:r w:rsidR="003E4B8E">
        <w:t xml:space="preserve"> or partners including Health for services for </w:t>
      </w:r>
      <w:r w:rsidR="0041175B">
        <w:t>children</w:t>
      </w:r>
      <w:r w:rsidR="003E4B8E">
        <w:t xml:space="preserve"> and young people.</w:t>
      </w:r>
    </w:p>
    <w:p w14:paraId="24144799" w14:textId="77777777" w:rsidR="00B40C9E" w:rsidRDefault="00B40C9E" w:rsidP="00B40C9E">
      <w:pPr>
        <w:pStyle w:val="ListParagraph"/>
        <w:ind w:left="360"/>
      </w:pPr>
    </w:p>
    <w:p w14:paraId="299CFBCA" w14:textId="08BC1F77" w:rsidR="003E4B8E" w:rsidRDefault="003E4B8E" w:rsidP="00B40C9E">
      <w:pPr>
        <w:pStyle w:val="ListParagraph"/>
        <w:numPr>
          <w:ilvl w:val="0"/>
          <w:numId w:val="15"/>
        </w:numPr>
      </w:pPr>
      <w:r>
        <w:lastRenderedPageBreak/>
        <w:t>Harrow Council recognises and values the important role of the local community and voluntary sector and the preferred approach is to partner with Young Harrow Foundation, who work with a wide range of partners and are able to co-ordinate the delivery of programmes and services.</w:t>
      </w:r>
      <w:r w:rsidR="0041175B" w:rsidRPr="0041175B">
        <w:t xml:space="preserve"> </w:t>
      </w:r>
      <w:r w:rsidR="0041175B">
        <w:t>It is proposed that this arrangement is for up to three years April 2022- March 2025.</w:t>
      </w:r>
    </w:p>
    <w:p w14:paraId="06744981" w14:textId="77777777" w:rsidR="003E4B8E" w:rsidRDefault="003E4B8E" w:rsidP="003E4B8E">
      <w:pPr>
        <w:pStyle w:val="ListParagraph"/>
      </w:pPr>
    </w:p>
    <w:p w14:paraId="36349A87" w14:textId="067424AA" w:rsidR="003E4B8E" w:rsidRDefault="003E4B8E" w:rsidP="00B40C9E">
      <w:pPr>
        <w:pStyle w:val="ListParagraph"/>
        <w:numPr>
          <w:ilvl w:val="0"/>
          <w:numId w:val="15"/>
        </w:numPr>
      </w:pPr>
      <w:r>
        <w:t xml:space="preserve">The partnership with the voluntary sector </w:t>
      </w:r>
      <w:r w:rsidRPr="00020141">
        <w:t>will contribute to the Council’s corporate priorities by tackling poverty and inequality and addressing health and social care inequality</w:t>
      </w:r>
      <w:r>
        <w:t xml:space="preserve"> whilst stimulating our local economy.</w:t>
      </w:r>
    </w:p>
    <w:p w14:paraId="13BE8B14" w14:textId="77777777" w:rsidR="003E4B8E" w:rsidRDefault="003E4B8E" w:rsidP="00B40C9E">
      <w:pPr>
        <w:pStyle w:val="ListParagraph"/>
      </w:pPr>
    </w:p>
    <w:p w14:paraId="5816F21A" w14:textId="53363687" w:rsidR="003E4B8E" w:rsidRDefault="003E4B8E" w:rsidP="00B40C9E">
      <w:pPr>
        <w:pStyle w:val="ListParagraph"/>
        <w:numPr>
          <w:ilvl w:val="0"/>
          <w:numId w:val="15"/>
        </w:numPr>
      </w:pPr>
      <w:r>
        <w:t xml:space="preserve">There are currently two funding sources that could be </w:t>
      </w:r>
      <w:r w:rsidR="0041175B">
        <w:t>delivered</w:t>
      </w:r>
      <w:r>
        <w:t xml:space="preserve"> through this model:</w:t>
      </w:r>
    </w:p>
    <w:p w14:paraId="23789098" w14:textId="77777777" w:rsidR="003E4B8E" w:rsidRDefault="003E4B8E" w:rsidP="00372281"/>
    <w:p w14:paraId="664D79D8" w14:textId="1853E2E6" w:rsidR="003E4B8E" w:rsidRDefault="003E4B8E" w:rsidP="00B40C9E">
      <w:pPr>
        <w:pStyle w:val="ListParagraph"/>
        <w:numPr>
          <w:ilvl w:val="0"/>
          <w:numId w:val="15"/>
        </w:numPr>
      </w:pPr>
      <w:r>
        <w:rPr>
          <w:b/>
          <w:bCs/>
        </w:rPr>
        <w:t xml:space="preserve">DfE </w:t>
      </w:r>
      <w:r w:rsidR="002A5A5D" w:rsidRPr="003E7B78">
        <w:rPr>
          <w:b/>
          <w:bCs/>
        </w:rPr>
        <w:t xml:space="preserve">Holiday Activities and Food </w:t>
      </w:r>
      <w:r w:rsidR="00CD033D" w:rsidRPr="003E7B78">
        <w:rPr>
          <w:b/>
          <w:bCs/>
        </w:rPr>
        <w:t>Programme</w:t>
      </w:r>
      <w:r w:rsidR="00CD033D">
        <w:t xml:space="preserve"> </w:t>
      </w:r>
      <w:r>
        <w:t xml:space="preserve">2022/23. </w:t>
      </w:r>
      <w:r w:rsidR="00DE2C13">
        <w:t>Following the success of the pilot programme in 2020</w:t>
      </w:r>
      <w:r w:rsidR="00DA5269">
        <w:t>/21</w:t>
      </w:r>
      <w:r w:rsidR="00DE2C13">
        <w:t xml:space="preserve">, </w:t>
      </w:r>
      <w:r w:rsidR="002772F1">
        <w:t>i</w:t>
      </w:r>
      <w:r w:rsidR="00A32004" w:rsidRPr="00E14E09">
        <w:t xml:space="preserve">n </w:t>
      </w:r>
      <w:r w:rsidR="003C263E">
        <w:t xml:space="preserve">December </w:t>
      </w:r>
      <w:r w:rsidR="00A32004" w:rsidRPr="00E14E09">
        <w:t>202</w:t>
      </w:r>
      <w:r w:rsidR="003C263E">
        <w:t>1</w:t>
      </w:r>
      <w:r w:rsidR="00A32004" w:rsidRPr="00E14E09">
        <w:t>, the DfE announced</w:t>
      </w:r>
      <w:r w:rsidR="003C263E">
        <w:t xml:space="preserve"> the continuation of</w:t>
      </w:r>
      <w:r w:rsidR="00A32004" w:rsidRPr="00E14E09">
        <w:t xml:space="preserve"> grant funding </w:t>
      </w:r>
      <w:r w:rsidR="00A32004">
        <w:t>for</w:t>
      </w:r>
      <w:r w:rsidR="00A32004" w:rsidRPr="00E14E09">
        <w:t xml:space="preserve"> local authorities to co</w:t>
      </w:r>
      <w:r w:rsidR="00A32004">
        <w:t>-</w:t>
      </w:r>
      <w:r w:rsidR="00A32004" w:rsidRPr="00E14E09">
        <w:t xml:space="preserve">ordinate free holiday provision, including healthy food and enriching activities, for children who receive benefits-related free school meals. </w:t>
      </w:r>
      <w:r>
        <w:t xml:space="preserve">Local authorities have the option to coordinate these programmes themselves, and/or to work with another organisation to coordinate the provision on their behalf. </w:t>
      </w:r>
    </w:p>
    <w:p w14:paraId="152D3958" w14:textId="77777777" w:rsidR="003C3DDB" w:rsidRDefault="003C3DDB" w:rsidP="0046301A"/>
    <w:p w14:paraId="08FAB638" w14:textId="11157E24" w:rsidR="003C3DDB" w:rsidRDefault="00CD033D" w:rsidP="00B40C9E">
      <w:pPr>
        <w:pStyle w:val="ListParagraph"/>
        <w:numPr>
          <w:ilvl w:val="0"/>
          <w:numId w:val="15"/>
        </w:numPr>
      </w:pPr>
      <w:r w:rsidRPr="003E7B78">
        <w:rPr>
          <w:b/>
          <w:bCs/>
        </w:rPr>
        <w:t>Young Adults Mental Health</w:t>
      </w:r>
      <w:r w:rsidR="00EB7CCB" w:rsidRPr="003E7B78">
        <w:rPr>
          <w:b/>
          <w:bCs/>
        </w:rPr>
        <w:t xml:space="preserve"> Community </w:t>
      </w:r>
      <w:r w:rsidR="00BC4ED9" w:rsidRPr="003E7B78">
        <w:rPr>
          <w:b/>
          <w:bCs/>
        </w:rPr>
        <w:t>Grant Scheme</w:t>
      </w:r>
      <w:r w:rsidR="003E4B8E">
        <w:rPr>
          <w:b/>
          <w:bCs/>
        </w:rPr>
        <w:t xml:space="preserve">. </w:t>
      </w:r>
      <w:r w:rsidR="003E4B8E">
        <w:t>A</w:t>
      </w:r>
      <w:r w:rsidR="0098234B">
        <w:t>s part of the 16-25</w:t>
      </w:r>
      <w:r w:rsidR="002E1F4B">
        <w:t xml:space="preserve"> mental health pathway implementation, CNWL are awarding a grant to Harrow Council to </w:t>
      </w:r>
      <w:r w:rsidR="00EE5DE6">
        <w:t>partner with Young Harrow Foundation</w:t>
      </w:r>
      <w:r w:rsidR="009F616C">
        <w:t xml:space="preserve"> to commission small mental health voluntary organisations to</w:t>
      </w:r>
      <w:r w:rsidR="00FB2113">
        <w:t xml:space="preserve"> improve local pathways.  </w:t>
      </w:r>
    </w:p>
    <w:p w14:paraId="489C67B4" w14:textId="77777777" w:rsidR="00A32004" w:rsidRDefault="00A32004" w:rsidP="00A32004"/>
    <w:p w14:paraId="0A078380" w14:textId="547469A9" w:rsidR="00AD1E77" w:rsidRDefault="001C7E35" w:rsidP="00A1211C">
      <w:pPr>
        <w:pStyle w:val="Heading3"/>
        <w:spacing w:before="240"/>
        <w:ind w:left="0" w:firstLine="0"/>
        <w:jc w:val="left"/>
      </w:pPr>
      <w:r>
        <w:t xml:space="preserve">Options considered  </w:t>
      </w:r>
    </w:p>
    <w:p w14:paraId="11064D84" w14:textId="39D8819E" w:rsidR="00A13158" w:rsidRDefault="00A13158" w:rsidP="00A13158"/>
    <w:p w14:paraId="41F15ADF" w14:textId="48EF15B1" w:rsidR="00A13158" w:rsidRPr="00A13158" w:rsidRDefault="00A13158" w:rsidP="00B40C9E">
      <w:pPr>
        <w:pStyle w:val="ListParagraph"/>
        <w:numPr>
          <w:ilvl w:val="0"/>
          <w:numId w:val="15"/>
        </w:numPr>
      </w:pPr>
      <w:r>
        <w:t>The following options have been considered:</w:t>
      </w:r>
    </w:p>
    <w:p w14:paraId="1F296C38" w14:textId="77777777" w:rsidR="00531C62" w:rsidRPr="00531C62" w:rsidRDefault="00531C62" w:rsidP="00531C62"/>
    <w:p w14:paraId="45DCBE1D" w14:textId="4C581889" w:rsidR="00531C62" w:rsidRDefault="00531C62" w:rsidP="0046301A">
      <w:pPr>
        <w:pStyle w:val="ListParagraph"/>
        <w:numPr>
          <w:ilvl w:val="0"/>
          <w:numId w:val="4"/>
        </w:numPr>
        <w:ind w:left="1080"/>
      </w:pPr>
      <w:r>
        <w:t>Commission Young Harrow Foundation to co-ordinate the planning and delivery of initiative, services, programmes and activities for children and young people in partnership with the Council</w:t>
      </w:r>
      <w:r w:rsidR="004F1B41">
        <w:t>.</w:t>
      </w:r>
    </w:p>
    <w:p w14:paraId="407629B0" w14:textId="77777777" w:rsidR="00531C62" w:rsidRDefault="00531C62" w:rsidP="0046301A">
      <w:pPr>
        <w:ind w:left="360"/>
      </w:pPr>
    </w:p>
    <w:p w14:paraId="102A25E6" w14:textId="7ABFE220" w:rsidR="00531C62" w:rsidRDefault="00531C62" w:rsidP="0046301A">
      <w:pPr>
        <w:pStyle w:val="ListParagraph"/>
        <w:numPr>
          <w:ilvl w:val="0"/>
          <w:numId w:val="4"/>
        </w:numPr>
        <w:ind w:left="1080"/>
      </w:pPr>
      <w:r>
        <w:t>The Council to co-ordinate the planning and delivery of initiatives, services, programmes and activities for children and young people</w:t>
      </w:r>
      <w:r w:rsidR="00241846">
        <w:t>.</w:t>
      </w:r>
    </w:p>
    <w:p w14:paraId="3BFC9DAE" w14:textId="77777777" w:rsidR="00531C62" w:rsidRDefault="00531C62" w:rsidP="0046301A">
      <w:pPr>
        <w:ind w:left="360"/>
      </w:pPr>
    </w:p>
    <w:p w14:paraId="6539EDBB" w14:textId="44355B6A" w:rsidR="00531C62" w:rsidRDefault="00531C62" w:rsidP="0046301A">
      <w:pPr>
        <w:pStyle w:val="ListParagraph"/>
        <w:numPr>
          <w:ilvl w:val="0"/>
          <w:numId w:val="4"/>
        </w:numPr>
        <w:ind w:left="1080"/>
      </w:pPr>
      <w:r>
        <w:t>Do not deliver initiatives, services, programmes and activities for children and young people.</w:t>
      </w:r>
    </w:p>
    <w:p w14:paraId="0F8BA6C0" w14:textId="77777777" w:rsidR="001F4106" w:rsidRDefault="001F4106" w:rsidP="001F4106">
      <w:pPr>
        <w:pStyle w:val="ListParagraph"/>
      </w:pPr>
    </w:p>
    <w:p w14:paraId="6A9CC76B" w14:textId="6D895D6A" w:rsidR="0062045E" w:rsidRPr="00DB7FB9" w:rsidRDefault="0062045E" w:rsidP="00B40C9E">
      <w:pPr>
        <w:pStyle w:val="ListParagraph"/>
        <w:numPr>
          <w:ilvl w:val="0"/>
          <w:numId w:val="15"/>
        </w:numPr>
        <w:rPr>
          <w:szCs w:val="24"/>
        </w:rPr>
      </w:pPr>
      <w:r w:rsidRPr="00DB7FB9">
        <w:rPr>
          <w:szCs w:val="24"/>
        </w:rPr>
        <w:t>The Council is unable to co-ordinate the delivery of the programme</w:t>
      </w:r>
      <w:r w:rsidR="003C3DDB">
        <w:rPr>
          <w:szCs w:val="24"/>
        </w:rPr>
        <w:t>s</w:t>
      </w:r>
      <w:r w:rsidRPr="00DB7FB9">
        <w:rPr>
          <w:szCs w:val="24"/>
        </w:rPr>
        <w:t xml:space="preserve"> at this time and maintain its covid response. Option 3 is not acceptable given the importance of th</w:t>
      </w:r>
      <w:r w:rsidR="003C3DDB">
        <w:rPr>
          <w:szCs w:val="24"/>
        </w:rPr>
        <w:t xml:space="preserve">ese </w:t>
      </w:r>
      <w:r w:rsidRPr="00DB7FB9">
        <w:rPr>
          <w:szCs w:val="24"/>
        </w:rPr>
        <w:t xml:space="preserve">programme for disadvantaged children and young people in Harrow. </w:t>
      </w:r>
    </w:p>
    <w:p w14:paraId="1B9B3D86" w14:textId="77777777" w:rsidR="0062045E" w:rsidRDefault="0062045E" w:rsidP="0062045E">
      <w:pPr>
        <w:pStyle w:val="ListParagraph"/>
        <w:ind w:left="567"/>
        <w:rPr>
          <w:szCs w:val="24"/>
        </w:rPr>
      </w:pPr>
    </w:p>
    <w:p w14:paraId="5EA63C01" w14:textId="45701F42" w:rsidR="0051296A" w:rsidRDefault="0062045E" w:rsidP="005158D0">
      <w:pPr>
        <w:pStyle w:val="ListParagraph"/>
        <w:numPr>
          <w:ilvl w:val="0"/>
          <w:numId w:val="15"/>
        </w:numPr>
      </w:pPr>
      <w:r w:rsidRPr="0051296A">
        <w:rPr>
          <w:szCs w:val="24"/>
        </w:rPr>
        <w:t xml:space="preserve">Option 1 is the preferred option as YHF is the only organisation that does not deliver activities to </w:t>
      </w:r>
      <w:r w:rsidR="0051296A" w:rsidRPr="0051296A">
        <w:rPr>
          <w:szCs w:val="24"/>
        </w:rPr>
        <w:t>0-25-year-olds</w:t>
      </w:r>
      <w:r w:rsidRPr="0051296A">
        <w:rPr>
          <w:szCs w:val="24"/>
        </w:rPr>
        <w:t xml:space="preserve"> directly, thus eliminating a risk of challenge to the council and maintaining impartiality.  Young Harrow </w:t>
      </w:r>
      <w:r w:rsidRPr="0051296A">
        <w:rPr>
          <w:szCs w:val="24"/>
        </w:rPr>
        <w:lastRenderedPageBreak/>
        <w:t xml:space="preserve">Foundation have the skills, </w:t>
      </w:r>
      <w:proofErr w:type="gramStart"/>
      <w:r w:rsidRPr="0051296A">
        <w:rPr>
          <w:szCs w:val="24"/>
        </w:rPr>
        <w:t>experience</w:t>
      </w:r>
      <w:proofErr w:type="gramEnd"/>
      <w:r w:rsidRPr="0051296A">
        <w:rPr>
          <w:szCs w:val="24"/>
        </w:rPr>
        <w:t xml:space="preserve"> and track record of coordinating</w:t>
      </w:r>
      <w:r w:rsidR="00871424" w:rsidRPr="0051296A">
        <w:rPr>
          <w:szCs w:val="24"/>
        </w:rPr>
        <w:t xml:space="preserve">, managing </w:t>
      </w:r>
      <w:r w:rsidR="004E178D" w:rsidRPr="0051296A">
        <w:rPr>
          <w:szCs w:val="24"/>
        </w:rPr>
        <w:t>grant</w:t>
      </w:r>
      <w:r w:rsidR="00871424" w:rsidRPr="0051296A">
        <w:rPr>
          <w:szCs w:val="24"/>
        </w:rPr>
        <w:t xml:space="preserve">s, </w:t>
      </w:r>
      <w:r w:rsidRPr="0051296A">
        <w:rPr>
          <w:szCs w:val="24"/>
        </w:rPr>
        <w:t xml:space="preserve">holiday provision and have over 200 local organisations registered that already provide good quality activities, education and parent support to residents in Harrow. </w:t>
      </w:r>
    </w:p>
    <w:p w14:paraId="502215EF" w14:textId="6F242ACB" w:rsidR="002D5E59" w:rsidRPr="005F5CF0" w:rsidRDefault="003E4B8E" w:rsidP="005F5CF0">
      <w:pPr>
        <w:pStyle w:val="ListParagraph"/>
        <w:numPr>
          <w:ilvl w:val="0"/>
          <w:numId w:val="15"/>
        </w:numPr>
        <w:spacing w:before="100" w:beforeAutospacing="1" w:after="100" w:afterAutospacing="1"/>
        <w:rPr>
          <w:rFonts w:ascii="Calibri" w:hAnsi="Calibri"/>
          <w:sz w:val="22"/>
          <w:lang w:eastAsia="en-GB"/>
        </w:rPr>
      </w:pPr>
      <w:r w:rsidRPr="005F5CF0">
        <w:rPr>
          <w:szCs w:val="24"/>
        </w:rPr>
        <w:t xml:space="preserve">YHF have provided an evaluation of the HAF 2021/22 Programme. The impact and outcomes on vulnerable children and young people </w:t>
      </w:r>
      <w:proofErr w:type="gramStart"/>
      <w:r w:rsidRPr="005F5CF0">
        <w:rPr>
          <w:szCs w:val="24"/>
        </w:rPr>
        <w:t>is</w:t>
      </w:r>
      <w:proofErr w:type="gramEnd"/>
      <w:r w:rsidRPr="005F5CF0">
        <w:rPr>
          <w:szCs w:val="24"/>
        </w:rPr>
        <w:t xml:space="preserve"> positive and the model of delivery has </w:t>
      </w:r>
      <w:r w:rsidR="00A16861" w:rsidRPr="005F5CF0">
        <w:rPr>
          <w:szCs w:val="24"/>
        </w:rPr>
        <w:t>contributed</w:t>
      </w:r>
      <w:r w:rsidRPr="005F5CF0">
        <w:rPr>
          <w:szCs w:val="24"/>
        </w:rPr>
        <w:t xml:space="preserve"> to the success of the programme in meeting the DfE’s aims and objectives. </w:t>
      </w:r>
    </w:p>
    <w:p w14:paraId="0E637316" w14:textId="65978E25" w:rsidR="00333FAA" w:rsidRDefault="005842D0" w:rsidP="00333FAA">
      <w:pPr>
        <w:pStyle w:val="Heading2"/>
        <w:rPr>
          <w:rFonts w:ascii="Arial" w:hAnsi="Arial"/>
          <w:sz w:val="28"/>
          <w:szCs w:val="28"/>
        </w:rPr>
      </w:pPr>
      <w:r w:rsidRPr="005842D0">
        <w:rPr>
          <w:rFonts w:ascii="Arial" w:hAnsi="Arial"/>
          <w:sz w:val="28"/>
          <w:szCs w:val="28"/>
        </w:rPr>
        <w:t>Harrow’s Delivery Model</w:t>
      </w:r>
    </w:p>
    <w:p w14:paraId="02351762" w14:textId="49CEBA55" w:rsidR="005C3CFC" w:rsidRDefault="005C3CFC" w:rsidP="005C3CFC"/>
    <w:p w14:paraId="3D91FEC3" w14:textId="4C993C03" w:rsidR="005C3CFC" w:rsidRDefault="005C3CFC" w:rsidP="00B40C9E">
      <w:pPr>
        <w:pStyle w:val="ListParagraph"/>
        <w:numPr>
          <w:ilvl w:val="0"/>
          <w:numId w:val="15"/>
        </w:numPr>
      </w:pPr>
      <w:r>
        <w:t xml:space="preserve"> Harrow’s preferred delivery model is to work with </w:t>
      </w:r>
      <w:r w:rsidR="00F4072D">
        <w:t xml:space="preserve">Young Harrow Foundation </w:t>
      </w:r>
      <w:r>
        <w:t>to plan and deliver the</w:t>
      </w:r>
      <w:r w:rsidR="00B05A6A">
        <w:t>se</w:t>
      </w:r>
      <w:r>
        <w:t xml:space="preserve"> </w:t>
      </w:r>
      <w:r w:rsidR="00AF79B4">
        <w:t xml:space="preserve">grant funded </w:t>
      </w:r>
      <w:r>
        <w:t>programme</w:t>
      </w:r>
      <w:r w:rsidR="00AF79B4">
        <w:t>s</w:t>
      </w:r>
      <w:r w:rsidR="00F4072D">
        <w:t xml:space="preserve">.  </w:t>
      </w:r>
    </w:p>
    <w:p w14:paraId="24E7541C" w14:textId="77777777" w:rsidR="005C3CFC" w:rsidRDefault="005C3CFC" w:rsidP="005C3CFC"/>
    <w:p w14:paraId="599284C5" w14:textId="412DB7D8" w:rsidR="005C3CFC" w:rsidRDefault="005C3CFC" w:rsidP="00B40C9E">
      <w:pPr>
        <w:pStyle w:val="ListParagraph"/>
        <w:numPr>
          <w:ilvl w:val="0"/>
          <w:numId w:val="15"/>
        </w:numPr>
      </w:pPr>
      <w:r>
        <w:t xml:space="preserve">Young Harrow Foundation (YHF) is a membership organisation supporting the local voluntary sector to build capacity, increase fundraising opportunities and to facilitate partnership working in the community. YHF has been operating for over five years and has worked closely with the Council on a variety of initiatives.  YHF operates as a delivery partner working with and across all sectors to ensure the best opportunities for children, young people and their families in Harrow. </w:t>
      </w:r>
    </w:p>
    <w:p w14:paraId="64FC6829" w14:textId="77777777" w:rsidR="005C3CFC" w:rsidRDefault="005C3CFC" w:rsidP="005C3CFC"/>
    <w:p w14:paraId="4234CAA1" w14:textId="39326BA6" w:rsidR="005C3CFC" w:rsidRDefault="005C3CFC" w:rsidP="00B40C9E">
      <w:pPr>
        <w:pStyle w:val="ListParagraph"/>
        <w:numPr>
          <w:ilvl w:val="0"/>
          <w:numId w:val="15"/>
        </w:numPr>
      </w:pPr>
      <w:r>
        <w:t>Over the last five years YHF has raised, facilitated and distributed over £4 million in funding, administering small grant programmes and, holiday schemes.   Importantly for th</w:t>
      </w:r>
      <w:r w:rsidR="0037372E">
        <w:t>ese</w:t>
      </w:r>
      <w:r>
        <w:t xml:space="preserve"> programme</w:t>
      </w:r>
      <w:r w:rsidR="0037372E">
        <w:t>s</w:t>
      </w:r>
      <w:r>
        <w:t xml:space="preserve">, YHF have over 200 member organisations registered, delivering local provision and specialist support to children and young people and their families. </w:t>
      </w:r>
    </w:p>
    <w:p w14:paraId="7E4E653E" w14:textId="77777777" w:rsidR="005C3CFC" w:rsidRDefault="005C3CFC" w:rsidP="005C3CFC"/>
    <w:p w14:paraId="24EC47E5" w14:textId="603DA9E4" w:rsidR="005C3CFC" w:rsidRDefault="0069700A" w:rsidP="00B40C9E">
      <w:pPr>
        <w:pStyle w:val="ListParagraph"/>
        <w:numPr>
          <w:ilvl w:val="0"/>
          <w:numId w:val="15"/>
        </w:numPr>
      </w:pPr>
      <w:r>
        <w:t xml:space="preserve">In the 2021 HAF pilot programme, </w:t>
      </w:r>
      <w:r w:rsidR="005C3CFC">
        <w:t xml:space="preserve">YHF were invited to submit a proposal to work with the Council to plan and deliver the programme in accordance with the DfE’s requirements. </w:t>
      </w:r>
    </w:p>
    <w:p w14:paraId="25F594C8" w14:textId="77777777" w:rsidR="000E06B1" w:rsidRDefault="000E06B1" w:rsidP="00B40C9E">
      <w:pPr>
        <w:pStyle w:val="ListParagraph"/>
      </w:pPr>
    </w:p>
    <w:p w14:paraId="178ED13E" w14:textId="00C268D8" w:rsidR="005C3CFC" w:rsidRDefault="00791FDC" w:rsidP="00B40C9E">
      <w:pPr>
        <w:pStyle w:val="ListParagraph"/>
        <w:numPr>
          <w:ilvl w:val="0"/>
          <w:numId w:val="15"/>
        </w:numPr>
      </w:pPr>
      <w:r>
        <w:t xml:space="preserve">The HAF scheme has been </w:t>
      </w:r>
      <w:r w:rsidR="00EB68F8">
        <w:t xml:space="preserve">extended </w:t>
      </w:r>
      <w:r w:rsidR="00DB165F">
        <w:t xml:space="preserve">for a further 3 years and </w:t>
      </w:r>
      <w:r w:rsidR="005C3CFC">
        <w:t xml:space="preserve">It is proposed that YHF deliver the Government’s Holiday Programme in </w:t>
      </w:r>
      <w:r w:rsidR="0033000E">
        <w:t xml:space="preserve">a </w:t>
      </w:r>
      <w:r w:rsidR="00DB165F">
        <w:t>similar</w:t>
      </w:r>
      <w:r w:rsidR="0033000E">
        <w:t xml:space="preserve"> successful w</w:t>
      </w:r>
      <w:r w:rsidR="00DB165F">
        <w:t xml:space="preserve">ay.  </w:t>
      </w:r>
      <w:r w:rsidR="005C3CFC">
        <w:t>This is based on the following reasons:</w:t>
      </w:r>
    </w:p>
    <w:p w14:paraId="5CFE0213" w14:textId="77777777" w:rsidR="005C3CFC" w:rsidRDefault="005C3CFC" w:rsidP="005C3CFC"/>
    <w:p w14:paraId="17A288D8" w14:textId="11EC3890" w:rsidR="005C3CFC" w:rsidRDefault="005C3CFC" w:rsidP="00A53D69">
      <w:pPr>
        <w:pStyle w:val="ListParagraph"/>
        <w:numPr>
          <w:ilvl w:val="0"/>
          <w:numId w:val="11"/>
        </w:numPr>
      </w:pPr>
      <w:r>
        <w:t>As a VCS partner organisation there is a robust and positive relationship with the Council.</w:t>
      </w:r>
    </w:p>
    <w:p w14:paraId="51687633" w14:textId="298E23B2" w:rsidR="005C3CFC" w:rsidRDefault="005C3CFC" w:rsidP="00A53D69">
      <w:pPr>
        <w:pStyle w:val="ListParagraph"/>
        <w:numPr>
          <w:ilvl w:val="0"/>
          <w:numId w:val="11"/>
        </w:numPr>
      </w:pPr>
      <w:r>
        <w:t>The YHF membership includes providers across Harrow that are actively providing services and opportunities for children and young people across Harrow.</w:t>
      </w:r>
    </w:p>
    <w:p w14:paraId="2F8B510E" w14:textId="755F46E8" w:rsidR="005C3CFC" w:rsidRDefault="005C3CFC" w:rsidP="00A53D69">
      <w:pPr>
        <w:pStyle w:val="ListParagraph"/>
        <w:numPr>
          <w:ilvl w:val="0"/>
          <w:numId w:val="11"/>
        </w:numPr>
      </w:pPr>
      <w:r>
        <w:t>YHF has a map of provision across Harrow – providing a strong foundation on which to plan the Holiday offer.</w:t>
      </w:r>
    </w:p>
    <w:p w14:paraId="420B0330" w14:textId="303952B7" w:rsidR="005C3CFC" w:rsidRDefault="005C3CFC" w:rsidP="00A53D69">
      <w:pPr>
        <w:pStyle w:val="ListParagraph"/>
        <w:numPr>
          <w:ilvl w:val="0"/>
          <w:numId w:val="11"/>
        </w:numPr>
      </w:pPr>
      <w:r>
        <w:t xml:space="preserve">YHF are able to </w:t>
      </w:r>
      <w:r w:rsidR="000E06B1">
        <w:t xml:space="preserve">explore and potentially </w:t>
      </w:r>
      <w:r>
        <w:t xml:space="preserve">extend </w:t>
      </w:r>
      <w:r w:rsidR="000E06B1">
        <w:t xml:space="preserve">service </w:t>
      </w:r>
      <w:r>
        <w:t xml:space="preserve">offer to </w:t>
      </w:r>
      <w:r w:rsidR="000E06B1">
        <w:t xml:space="preserve">the widest cohort of children and young people through </w:t>
      </w:r>
      <w:r>
        <w:t>identified additional resources</w:t>
      </w:r>
      <w:r w:rsidR="000E06B1">
        <w:t xml:space="preserve">, for example corporate sponsors, maximising the reach of services, beyond the scope of the original funding. </w:t>
      </w:r>
      <w:r>
        <w:t xml:space="preserve">. </w:t>
      </w:r>
    </w:p>
    <w:p w14:paraId="3B862AD2" w14:textId="4B9151EB" w:rsidR="005C3CFC" w:rsidRDefault="005C3CFC" w:rsidP="00A53D69">
      <w:pPr>
        <w:pStyle w:val="ListParagraph"/>
        <w:numPr>
          <w:ilvl w:val="0"/>
          <w:numId w:val="11"/>
        </w:numPr>
      </w:pPr>
      <w:r>
        <w:t xml:space="preserve">The approach proposed will engage with a range of VCS organisations functioning in Harrow which will contribute to engaging with hard to reach communities </w:t>
      </w:r>
    </w:p>
    <w:p w14:paraId="252580B9" w14:textId="0486B629" w:rsidR="005C3CFC" w:rsidRDefault="005C3CFC" w:rsidP="00A53D69">
      <w:pPr>
        <w:pStyle w:val="ListParagraph"/>
        <w:numPr>
          <w:ilvl w:val="0"/>
          <w:numId w:val="11"/>
        </w:numPr>
      </w:pPr>
      <w:r>
        <w:t xml:space="preserve">YHF will plan the programme and sub-contract with other VCS organisations to deliver. There will not be any financial interest for </w:t>
      </w:r>
      <w:r>
        <w:lastRenderedPageBreak/>
        <w:t>YHF other than the costs of administering the programme as the funding will be passported to the VCS.</w:t>
      </w:r>
    </w:p>
    <w:p w14:paraId="2AC80928" w14:textId="77777777" w:rsidR="005C3CFC" w:rsidRDefault="005C3CFC" w:rsidP="005C3CFC"/>
    <w:p w14:paraId="311BE069" w14:textId="6C10050F" w:rsidR="00A41867" w:rsidRPr="0031263F" w:rsidRDefault="0031263F" w:rsidP="00A41867">
      <w:pPr>
        <w:pStyle w:val="Heading4"/>
        <w:rPr>
          <w:szCs w:val="24"/>
        </w:rPr>
      </w:pPr>
      <w:r w:rsidRPr="0031263F">
        <w:rPr>
          <w:szCs w:val="24"/>
        </w:rPr>
        <w:t xml:space="preserve">Funding and </w:t>
      </w:r>
      <w:r w:rsidR="00A41867" w:rsidRPr="0031263F">
        <w:rPr>
          <w:szCs w:val="24"/>
        </w:rPr>
        <w:t>Resources</w:t>
      </w:r>
    </w:p>
    <w:p w14:paraId="7AE89D90" w14:textId="48F19C77" w:rsidR="00A41867" w:rsidRDefault="00A41867" w:rsidP="00A41867"/>
    <w:p w14:paraId="41D5065E" w14:textId="77777777" w:rsidR="00365CBC" w:rsidRPr="00365CBC" w:rsidRDefault="000E06B1" w:rsidP="00365CBC">
      <w:pPr>
        <w:pStyle w:val="ListParagraph"/>
        <w:numPr>
          <w:ilvl w:val="0"/>
          <w:numId w:val="15"/>
        </w:numPr>
      </w:pPr>
      <w:r>
        <w:t>YHF will receive 10% of the funding for their management and administrative costs</w:t>
      </w:r>
      <w:r w:rsidR="00365CBC">
        <w:t xml:space="preserve"> </w:t>
      </w:r>
      <w:r w:rsidR="00365CBC" w:rsidRPr="00365CBC">
        <w:t>where the awarding body’s grant terms &amp; conditions allow.</w:t>
      </w:r>
    </w:p>
    <w:p w14:paraId="11489F3A" w14:textId="77777777" w:rsidR="00814C97" w:rsidRDefault="00814C97" w:rsidP="00B40C9E">
      <w:pPr>
        <w:pStyle w:val="ListParagraph"/>
      </w:pPr>
    </w:p>
    <w:p w14:paraId="780C6482" w14:textId="16E5F98E" w:rsidR="00A41867" w:rsidRDefault="000E06B1" w:rsidP="00B332FA">
      <w:pPr>
        <w:pStyle w:val="ListParagraph"/>
        <w:numPr>
          <w:ilvl w:val="0"/>
          <w:numId w:val="15"/>
        </w:numPr>
      </w:pPr>
      <w:r>
        <w:t xml:space="preserve">The maximum grant that YHF </w:t>
      </w:r>
      <w:proofErr w:type="gramStart"/>
      <w:r>
        <w:t>is able to</w:t>
      </w:r>
      <w:proofErr w:type="gramEnd"/>
      <w:r>
        <w:t xml:space="preserve"> receive over the </w:t>
      </w:r>
      <w:r w:rsidR="0051296A">
        <w:t>three-year</w:t>
      </w:r>
      <w:r>
        <w:t xml:space="preserve"> </w:t>
      </w:r>
      <w:r w:rsidR="00B11B27">
        <w:t>period</w:t>
      </w:r>
      <w:r>
        <w:t xml:space="preserve"> of this operating model is £21</w:t>
      </w:r>
      <w:r w:rsidR="002D3E6D">
        <w:t>3</w:t>
      </w:r>
      <w:r w:rsidR="00A2443A">
        <w:t>,477</w:t>
      </w:r>
      <w:r>
        <w:t xml:space="preserve"> including VAT, in accordance with Procurement Legislation.</w:t>
      </w:r>
      <w:r w:rsidR="00111535" w:rsidRPr="00111535">
        <w:t xml:space="preserve"> </w:t>
      </w:r>
      <w:r w:rsidR="00111535">
        <w:t>Any payment above this could trigger a requirement to competitively tender the contract.</w:t>
      </w:r>
    </w:p>
    <w:p w14:paraId="5884E907" w14:textId="77777777" w:rsidR="00E21A39" w:rsidRDefault="00E21A39" w:rsidP="00E21A39">
      <w:pPr>
        <w:pStyle w:val="Heading4"/>
        <w:rPr>
          <w:szCs w:val="24"/>
        </w:rPr>
      </w:pPr>
    </w:p>
    <w:p w14:paraId="0ABF8058" w14:textId="6A83ACB1" w:rsidR="00E21A39" w:rsidRDefault="00E21A39" w:rsidP="00E21A39">
      <w:pPr>
        <w:pStyle w:val="Heading4"/>
        <w:rPr>
          <w:szCs w:val="24"/>
        </w:rPr>
      </w:pPr>
      <w:r w:rsidRPr="00F62ABE">
        <w:rPr>
          <w:szCs w:val="24"/>
        </w:rPr>
        <w:t xml:space="preserve">Governance  </w:t>
      </w:r>
    </w:p>
    <w:p w14:paraId="72A37B29" w14:textId="77777777" w:rsidR="00E21A39" w:rsidRPr="00E21A39" w:rsidRDefault="00E21A39" w:rsidP="00E21A39"/>
    <w:p w14:paraId="14E18475" w14:textId="70176E3A" w:rsidR="00A41867" w:rsidRDefault="00B35C8F" w:rsidP="00B40C9E">
      <w:pPr>
        <w:pStyle w:val="ListParagraph"/>
        <w:numPr>
          <w:ilvl w:val="0"/>
          <w:numId w:val="15"/>
        </w:numPr>
      </w:pPr>
      <w:r w:rsidRPr="00B35C8F">
        <w:t xml:space="preserve">The performance of Young Harrow Foundation to fulfil the 2021/22 HAF programmes aims and objects has been monitored and evaluated throughout the year via an established governance arrangement with the Council.  </w:t>
      </w:r>
      <w:r w:rsidR="00814C97">
        <w:t xml:space="preserve">It is proposed that this </w:t>
      </w:r>
      <w:r w:rsidR="00A16861">
        <w:t>governance</w:t>
      </w:r>
      <w:r w:rsidR="00814C97">
        <w:t xml:space="preserve"> continues for the duration of this operating model with YHF.</w:t>
      </w:r>
    </w:p>
    <w:p w14:paraId="04C0F4FA" w14:textId="77777777" w:rsidR="000823F2" w:rsidRDefault="000823F2" w:rsidP="000823F2">
      <w:pPr>
        <w:pStyle w:val="ListParagraph"/>
        <w:ind w:left="360"/>
      </w:pPr>
    </w:p>
    <w:p w14:paraId="2B301E80" w14:textId="41659F60" w:rsidR="000823F2" w:rsidRDefault="000823F2" w:rsidP="00B40C9E">
      <w:pPr>
        <w:pStyle w:val="ListParagraph"/>
        <w:numPr>
          <w:ilvl w:val="0"/>
          <w:numId w:val="15"/>
        </w:numPr>
      </w:pPr>
      <w:r>
        <w:t xml:space="preserve"> </w:t>
      </w:r>
      <w:r w:rsidR="00DF4F9C" w:rsidRPr="00DF4F9C">
        <w:t xml:space="preserve">The governance structure consists of the HAF Strategic Group comprising Senior Officers within the Council. This group will approve the plan for each holiday period, the appointment of the VCS organisations to deliver activities, financial expenditure, monitor performance against the YHF Plan and data returns to DfE.  This Group is chaired by Director </w:t>
      </w:r>
      <w:r w:rsidR="00607F6C">
        <w:t xml:space="preserve">of </w:t>
      </w:r>
      <w:r w:rsidR="00DF4F9C" w:rsidRPr="00DF4F9C">
        <w:t>Children and Families Division.</w:t>
      </w:r>
    </w:p>
    <w:p w14:paraId="1466848C" w14:textId="77777777" w:rsidR="00DB09E1" w:rsidRDefault="00DB09E1" w:rsidP="00DB09E1">
      <w:pPr>
        <w:pStyle w:val="ListParagraph"/>
      </w:pPr>
    </w:p>
    <w:p w14:paraId="49531C03" w14:textId="43F29A6A" w:rsidR="00DB09E1" w:rsidRDefault="00506746" w:rsidP="00B40C9E">
      <w:pPr>
        <w:pStyle w:val="ListParagraph"/>
        <w:numPr>
          <w:ilvl w:val="0"/>
          <w:numId w:val="15"/>
        </w:numPr>
      </w:pPr>
      <w:r w:rsidRPr="00506746">
        <w:t xml:space="preserve">The HAF Steering Group consists of stakeholders and operational managers. The role of this group is to implement the plan agreed by the Strategy Group and design the delivery of the programme including the selection of providers.  </w:t>
      </w:r>
    </w:p>
    <w:p w14:paraId="155FC9D5" w14:textId="77777777" w:rsidR="007007A4" w:rsidRDefault="007007A4" w:rsidP="007007A4">
      <w:pPr>
        <w:pStyle w:val="ListParagraph"/>
      </w:pPr>
    </w:p>
    <w:p w14:paraId="4D1ABA09" w14:textId="13FBE238" w:rsidR="007007A4" w:rsidRDefault="007007A4" w:rsidP="00B40C9E">
      <w:pPr>
        <w:pStyle w:val="ListParagraph"/>
        <w:numPr>
          <w:ilvl w:val="0"/>
          <w:numId w:val="15"/>
        </w:numPr>
      </w:pPr>
      <w:r w:rsidRPr="007007A4">
        <w:t>Together with Young Harrow Foundation, the Council will</w:t>
      </w:r>
      <w:r>
        <w:t xml:space="preserve"> continue</w:t>
      </w:r>
      <w:r w:rsidR="00D55C96">
        <w:t xml:space="preserve"> to</w:t>
      </w:r>
      <w:r w:rsidRPr="007007A4">
        <w:t xml:space="preserve"> monitor and evaluate the impact, equalities and access to the provision in line with the DfE requirements.</w:t>
      </w:r>
    </w:p>
    <w:p w14:paraId="5A4AFB06" w14:textId="77777777" w:rsidR="00D55C96" w:rsidRDefault="00D55C96" w:rsidP="00D55C96">
      <w:pPr>
        <w:pStyle w:val="ListParagraph"/>
      </w:pPr>
    </w:p>
    <w:p w14:paraId="4D3D7EC9" w14:textId="29D29773" w:rsidR="0030702F" w:rsidRDefault="00D55C96" w:rsidP="00115315">
      <w:pPr>
        <w:pStyle w:val="ListParagraph"/>
        <w:numPr>
          <w:ilvl w:val="0"/>
          <w:numId w:val="15"/>
        </w:numPr>
      </w:pPr>
      <w:r>
        <w:t>The CNWL Community Grant Scheme will follow</w:t>
      </w:r>
      <w:r w:rsidR="007D4FC4">
        <w:t xml:space="preserve"> the same governance practice as the HAF programme.  </w:t>
      </w:r>
    </w:p>
    <w:p w14:paraId="7A3729B2" w14:textId="77777777" w:rsidR="002D3E6D" w:rsidRPr="005C3CFC" w:rsidRDefault="002D3E6D" w:rsidP="00B40C9E"/>
    <w:p w14:paraId="3CDC27BB" w14:textId="77777777" w:rsidR="00814C97" w:rsidRDefault="00814C97" w:rsidP="0051296A">
      <w:pPr>
        <w:pStyle w:val="ListParagraph"/>
        <w:numPr>
          <w:ilvl w:val="0"/>
          <w:numId w:val="15"/>
        </w:numPr>
      </w:pPr>
      <w:r>
        <w:t>The Council will receive grant funding to deliver these provisions. The funding received is to cover the provision of the HAF programme activities and allocate small grants to mental health providers and the coordination of the programme locally.  The funding for 2022/23 will be released to the Council to sub-contract Young Harrow Foundation as follows:</w:t>
      </w:r>
    </w:p>
    <w:p w14:paraId="64ED0693" w14:textId="77777777" w:rsidR="00814C97" w:rsidRDefault="00814C97" w:rsidP="00814C97">
      <w:pPr>
        <w:ind w:left="567" w:hanging="567"/>
        <w:jc w:val="center"/>
        <w:rPr>
          <w:b/>
          <w:bCs/>
        </w:rPr>
      </w:pPr>
    </w:p>
    <w:tbl>
      <w:tblPr>
        <w:tblStyle w:val="TableGrid"/>
        <w:tblW w:w="0" w:type="auto"/>
        <w:tblInd w:w="1129" w:type="dxa"/>
        <w:tblLook w:val="04A0" w:firstRow="1" w:lastRow="0" w:firstColumn="1" w:lastColumn="0" w:noHBand="0" w:noVBand="1"/>
      </w:tblPr>
      <w:tblGrid>
        <w:gridCol w:w="2005"/>
        <w:gridCol w:w="2582"/>
        <w:gridCol w:w="1934"/>
      </w:tblGrid>
      <w:tr w:rsidR="00814C97" w:rsidRPr="00CE1780" w14:paraId="3DC3878E" w14:textId="77777777" w:rsidTr="00B957A3">
        <w:tc>
          <w:tcPr>
            <w:tcW w:w="2005" w:type="dxa"/>
          </w:tcPr>
          <w:p w14:paraId="742226D7" w14:textId="77777777" w:rsidR="00814C97" w:rsidRPr="00CE1780" w:rsidRDefault="00814C97" w:rsidP="00B957A3">
            <w:pPr>
              <w:jc w:val="center"/>
              <w:rPr>
                <w:b/>
                <w:bCs/>
              </w:rPr>
            </w:pPr>
            <w:r>
              <w:rPr>
                <w:b/>
                <w:bCs/>
              </w:rPr>
              <w:t>DfE HAF</w:t>
            </w:r>
          </w:p>
        </w:tc>
        <w:tc>
          <w:tcPr>
            <w:tcW w:w="2582" w:type="dxa"/>
          </w:tcPr>
          <w:p w14:paraId="5D390675" w14:textId="77777777" w:rsidR="00814C97" w:rsidRPr="00CE1780" w:rsidRDefault="00814C97" w:rsidP="00B957A3">
            <w:pPr>
              <w:jc w:val="center"/>
              <w:rPr>
                <w:b/>
                <w:bCs/>
              </w:rPr>
            </w:pPr>
            <w:r>
              <w:rPr>
                <w:b/>
                <w:bCs/>
              </w:rPr>
              <w:t>CNWL</w:t>
            </w:r>
          </w:p>
        </w:tc>
        <w:tc>
          <w:tcPr>
            <w:tcW w:w="1934" w:type="dxa"/>
          </w:tcPr>
          <w:p w14:paraId="6FB9962F" w14:textId="77777777" w:rsidR="00814C97" w:rsidRPr="00CE1780" w:rsidRDefault="00814C97" w:rsidP="00B957A3">
            <w:pPr>
              <w:jc w:val="center"/>
              <w:rPr>
                <w:b/>
                <w:bCs/>
              </w:rPr>
            </w:pPr>
            <w:r w:rsidRPr="00CE1780">
              <w:rPr>
                <w:b/>
                <w:bCs/>
              </w:rPr>
              <w:t>Total</w:t>
            </w:r>
            <w:r>
              <w:rPr>
                <w:b/>
                <w:bCs/>
              </w:rPr>
              <w:t xml:space="preserve"> for 2022/23</w:t>
            </w:r>
          </w:p>
        </w:tc>
      </w:tr>
      <w:tr w:rsidR="00814C97" w:rsidRPr="00CE1780" w14:paraId="151F992E" w14:textId="77777777" w:rsidTr="00B957A3">
        <w:tc>
          <w:tcPr>
            <w:tcW w:w="2005" w:type="dxa"/>
          </w:tcPr>
          <w:p w14:paraId="11341D71" w14:textId="77777777" w:rsidR="00814C97" w:rsidRPr="00CE1780" w:rsidRDefault="00814C97" w:rsidP="00B957A3">
            <w:pPr>
              <w:jc w:val="center"/>
            </w:pPr>
            <w:r>
              <w:t>£663,060</w:t>
            </w:r>
          </w:p>
        </w:tc>
        <w:tc>
          <w:tcPr>
            <w:tcW w:w="2582" w:type="dxa"/>
          </w:tcPr>
          <w:p w14:paraId="175A3D23" w14:textId="77777777" w:rsidR="00814C97" w:rsidRPr="00CE1780" w:rsidRDefault="00814C97" w:rsidP="00B957A3">
            <w:pPr>
              <w:jc w:val="center"/>
            </w:pPr>
            <w:r w:rsidRPr="00CE1780">
              <w:t>£</w:t>
            </w:r>
            <w:r>
              <w:t>74,000</w:t>
            </w:r>
          </w:p>
        </w:tc>
        <w:tc>
          <w:tcPr>
            <w:tcW w:w="1934" w:type="dxa"/>
          </w:tcPr>
          <w:p w14:paraId="7BE82D52" w14:textId="77777777" w:rsidR="00814C97" w:rsidRPr="00CE1780" w:rsidRDefault="00814C97" w:rsidP="00B957A3">
            <w:pPr>
              <w:jc w:val="center"/>
            </w:pPr>
            <w:r w:rsidRPr="00CE1780">
              <w:t>£</w:t>
            </w:r>
            <w:r>
              <w:t>737,060</w:t>
            </w:r>
          </w:p>
        </w:tc>
      </w:tr>
    </w:tbl>
    <w:p w14:paraId="6A7ADCA0" w14:textId="77777777" w:rsidR="00814C97" w:rsidRDefault="00814C97" w:rsidP="00B40C9E">
      <w:pPr>
        <w:pStyle w:val="Heading4"/>
        <w:numPr>
          <w:ilvl w:val="0"/>
          <w:numId w:val="15"/>
        </w:numPr>
        <w:rPr>
          <w:b w:val="0"/>
          <w:bCs/>
          <w:szCs w:val="24"/>
        </w:rPr>
      </w:pPr>
      <w:r>
        <w:rPr>
          <w:b w:val="0"/>
          <w:bCs/>
          <w:szCs w:val="24"/>
        </w:rPr>
        <w:lastRenderedPageBreak/>
        <w:t>YHF will receive up to</w:t>
      </w:r>
      <w:r w:rsidRPr="002E4F49">
        <w:rPr>
          <w:b w:val="0"/>
          <w:bCs/>
          <w:szCs w:val="24"/>
        </w:rPr>
        <w:t xml:space="preserve"> 10% of the total grant to pay for co-ordination of the programme</w:t>
      </w:r>
      <w:r>
        <w:rPr>
          <w:b w:val="0"/>
          <w:bCs/>
          <w:szCs w:val="24"/>
        </w:rPr>
        <w:t>s</w:t>
      </w:r>
      <w:r w:rsidRPr="002E4F49">
        <w:rPr>
          <w:b w:val="0"/>
          <w:bCs/>
          <w:szCs w:val="24"/>
        </w:rPr>
        <w:t xml:space="preserve"> and the remaining 90% must be allocated to the</w:t>
      </w:r>
      <w:r>
        <w:rPr>
          <w:b w:val="0"/>
          <w:bCs/>
          <w:szCs w:val="24"/>
        </w:rPr>
        <w:t xml:space="preserve"> voluntary sector for the </w:t>
      </w:r>
      <w:r w:rsidRPr="002E4F49">
        <w:rPr>
          <w:b w:val="0"/>
          <w:bCs/>
          <w:szCs w:val="24"/>
        </w:rPr>
        <w:t xml:space="preserve">delivery of the provision.  </w:t>
      </w:r>
    </w:p>
    <w:p w14:paraId="066ED027" w14:textId="77777777" w:rsidR="00814C97" w:rsidRPr="002E4F49" w:rsidRDefault="00814C97" w:rsidP="00814C97"/>
    <w:p w14:paraId="64341C77" w14:textId="77777777" w:rsidR="00814C97" w:rsidRPr="00852FCA" w:rsidRDefault="00814C97" w:rsidP="00B40C9E">
      <w:pPr>
        <w:pStyle w:val="Heading4"/>
        <w:numPr>
          <w:ilvl w:val="0"/>
          <w:numId w:val="15"/>
        </w:numPr>
        <w:rPr>
          <w:b w:val="0"/>
          <w:bCs/>
          <w:szCs w:val="24"/>
        </w:rPr>
      </w:pPr>
      <w:r w:rsidRPr="00852FCA">
        <w:rPr>
          <w:b w:val="0"/>
          <w:bCs/>
          <w:szCs w:val="24"/>
        </w:rPr>
        <w:t xml:space="preserve">Future </w:t>
      </w:r>
      <w:r>
        <w:rPr>
          <w:b w:val="0"/>
          <w:bCs/>
          <w:szCs w:val="24"/>
        </w:rPr>
        <w:t xml:space="preserve">years funding from DfE and Health will be released in autumn on an annual basis.    </w:t>
      </w:r>
    </w:p>
    <w:p w14:paraId="25326E30" w14:textId="5CFA3DBB" w:rsidR="0041175B" w:rsidRDefault="0041175B" w:rsidP="0041175B">
      <w:pPr>
        <w:pStyle w:val="Heading2"/>
        <w:spacing w:before="240"/>
        <w:rPr>
          <w:rFonts w:ascii="Arial" w:hAnsi="Arial"/>
          <w:sz w:val="28"/>
          <w:szCs w:val="28"/>
        </w:rPr>
      </w:pPr>
      <w:r>
        <w:rPr>
          <w:rFonts w:ascii="Arial" w:hAnsi="Arial"/>
          <w:sz w:val="28"/>
          <w:szCs w:val="28"/>
        </w:rPr>
        <w:t>Proposed Programmes for 2022/23</w:t>
      </w:r>
    </w:p>
    <w:p w14:paraId="071F1F2E" w14:textId="4FFBDEEF" w:rsidR="0041175B" w:rsidRDefault="0041175B" w:rsidP="0041175B"/>
    <w:p w14:paraId="0CA44BA6" w14:textId="257EC22C" w:rsidR="0041175B" w:rsidRDefault="0041175B" w:rsidP="0041175B">
      <w:r>
        <w:t>There are two funding opportunities for 2022/23 that are suitable for delivery through the YHF Partnership. They are outlined as follows:</w:t>
      </w:r>
    </w:p>
    <w:p w14:paraId="0AEBCF5B" w14:textId="77777777" w:rsidR="0041175B" w:rsidRPr="00B40C9E" w:rsidRDefault="0041175B" w:rsidP="00B40C9E"/>
    <w:p w14:paraId="1AB9DBBD" w14:textId="77777777" w:rsidR="0041175B" w:rsidRDefault="0041175B" w:rsidP="00B40C9E">
      <w:pPr>
        <w:rPr>
          <w:b/>
          <w:bCs/>
          <w:szCs w:val="24"/>
        </w:rPr>
      </w:pPr>
      <w:r w:rsidRPr="005641B1">
        <w:rPr>
          <w:b/>
          <w:bCs/>
          <w:szCs w:val="24"/>
        </w:rPr>
        <w:t>The Government’s Holiday Activities and Food Programme (HAF)</w:t>
      </w:r>
    </w:p>
    <w:p w14:paraId="672FB341" w14:textId="77777777" w:rsidR="0041175B" w:rsidRPr="005641B1" w:rsidRDefault="0041175B" w:rsidP="0041175B">
      <w:pPr>
        <w:ind w:firstLine="567"/>
        <w:rPr>
          <w:b/>
          <w:bCs/>
          <w:szCs w:val="24"/>
        </w:rPr>
      </w:pPr>
    </w:p>
    <w:p w14:paraId="2BFCBD66" w14:textId="77777777" w:rsidR="0041175B" w:rsidRDefault="0041175B" w:rsidP="00B40C9E">
      <w:pPr>
        <w:pStyle w:val="ListParagraph"/>
        <w:numPr>
          <w:ilvl w:val="0"/>
          <w:numId w:val="15"/>
        </w:numPr>
        <w:ind w:left="567" w:hanging="567"/>
        <w:rPr>
          <w:szCs w:val="24"/>
        </w:rPr>
      </w:pPr>
      <w:r w:rsidRPr="005641B1">
        <w:rPr>
          <w:szCs w:val="24"/>
        </w:rPr>
        <w:t xml:space="preserve">The Government’s pilot programme initially began in 2018 and was expanded to include all local authorities from 2021.  </w:t>
      </w:r>
      <w:r>
        <w:rPr>
          <w:szCs w:val="24"/>
        </w:rPr>
        <w:t>T</w:t>
      </w:r>
      <w:r w:rsidRPr="005641B1">
        <w:rPr>
          <w:szCs w:val="24"/>
        </w:rPr>
        <w:t xml:space="preserve">he focus of the programme </w:t>
      </w:r>
      <w:r>
        <w:rPr>
          <w:szCs w:val="24"/>
        </w:rPr>
        <w:t xml:space="preserve">is to ensure that there is </w:t>
      </w:r>
      <w:r w:rsidRPr="005641B1">
        <w:rPr>
          <w:szCs w:val="24"/>
        </w:rPr>
        <w:t>holiday club provision available for all children eligible for benefits-related free school meals in the area.</w:t>
      </w:r>
    </w:p>
    <w:p w14:paraId="19FAC467" w14:textId="77777777" w:rsidR="0041175B" w:rsidRDefault="0041175B" w:rsidP="0041175B">
      <w:pPr>
        <w:pStyle w:val="ListParagraph"/>
        <w:ind w:left="567"/>
        <w:rPr>
          <w:szCs w:val="24"/>
        </w:rPr>
      </w:pPr>
    </w:p>
    <w:p w14:paraId="444D6ECC" w14:textId="77777777" w:rsidR="0041175B" w:rsidRPr="005641B1" w:rsidRDefault="0041175B" w:rsidP="00B40C9E">
      <w:pPr>
        <w:pStyle w:val="ListParagraph"/>
        <w:numPr>
          <w:ilvl w:val="0"/>
          <w:numId w:val="15"/>
        </w:numPr>
        <w:ind w:left="567" w:hanging="567"/>
        <w:rPr>
          <w:szCs w:val="24"/>
        </w:rPr>
      </w:pPr>
      <w:r>
        <w:rPr>
          <w:szCs w:val="24"/>
        </w:rPr>
        <w:t xml:space="preserve">The programme has been extended until in line with the Governments spending review for three years from 2022, local authorities will receive the funding and confirmation on a year by year basis.  </w:t>
      </w:r>
    </w:p>
    <w:p w14:paraId="69A0579B" w14:textId="77777777" w:rsidR="0041175B" w:rsidRPr="005641B1" w:rsidRDefault="0041175B" w:rsidP="0041175B">
      <w:pPr>
        <w:pStyle w:val="ListParagraph"/>
        <w:ind w:left="567"/>
        <w:rPr>
          <w:szCs w:val="24"/>
        </w:rPr>
      </w:pPr>
    </w:p>
    <w:p w14:paraId="474DCACC" w14:textId="77777777" w:rsidR="0041175B" w:rsidRPr="005641B1" w:rsidRDefault="0041175B" w:rsidP="00B40C9E">
      <w:pPr>
        <w:pStyle w:val="ListParagraph"/>
        <w:numPr>
          <w:ilvl w:val="0"/>
          <w:numId w:val="15"/>
        </w:numPr>
        <w:ind w:left="567" w:hanging="567"/>
        <w:rPr>
          <w:szCs w:val="24"/>
        </w:rPr>
      </w:pPr>
      <w:r w:rsidRPr="005641B1">
        <w:rPr>
          <w:szCs w:val="24"/>
        </w:rPr>
        <w:t xml:space="preserve">The holiday club provision is required to meet the DFE’s core aims and objectives </w:t>
      </w:r>
      <w:r>
        <w:rPr>
          <w:szCs w:val="24"/>
        </w:rPr>
        <w:t>listed</w:t>
      </w:r>
      <w:r w:rsidRPr="005641B1">
        <w:rPr>
          <w:szCs w:val="24"/>
        </w:rPr>
        <w:t xml:space="preserve"> as follows: </w:t>
      </w:r>
    </w:p>
    <w:p w14:paraId="0E69C6C2" w14:textId="77777777" w:rsidR="0041175B" w:rsidRPr="005641B1" w:rsidRDefault="0041175B" w:rsidP="0041175B">
      <w:pPr>
        <w:rPr>
          <w:szCs w:val="24"/>
        </w:rPr>
      </w:pPr>
    </w:p>
    <w:p w14:paraId="0AFAC15E" w14:textId="77777777" w:rsidR="0041175B" w:rsidRPr="00B90298" w:rsidRDefault="0041175B" w:rsidP="0041175B">
      <w:pPr>
        <w:pStyle w:val="Default"/>
        <w:numPr>
          <w:ilvl w:val="0"/>
          <w:numId w:val="8"/>
        </w:numPr>
        <w:ind w:left="927"/>
      </w:pPr>
      <w:r w:rsidRPr="00B90298">
        <w:t>Healthy meals</w:t>
      </w:r>
    </w:p>
    <w:p w14:paraId="50D8F22A" w14:textId="77777777" w:rsidR="0041175B" w:rsidRPr="00B90298" w:rsidRDefault="0041175B" w:rsidP="0041175B">
      <w:pPr>
        <w:pStyle w:val="Default"/>
        <w:numPr>
          <w:ilvl w:val="0"/>
          <w:numId w:val="8"/>
        </w:numPr>
        <w:ind w:left="927"/>
        <w:rPr>
          <w:color w:val="auto"/>
        </w:rPr>
      </w:pPr>
      <w:r w:rsidRPr="00B90298">
        <w:t>Enriching activities</w:t>
      </w:r>
    </w:p>
    <w:p w14:paraId="2DCF05E2" w14:textId="77777777" w:rsidR="0041175B" w:rsidRPr="00B90298" w:rsidRDefault="0041175B" w:rsidP="0041175B">
      <w:pPr>
        <w:pStyle w:val="Default"/>
        <w:numPr>
          <w:ilvl w:val="0"/>
          <w:numId w:val="8"/>
        </w:numPr>
        <w:ind w:left="927"/>
        <w:rPr>
          <w:color w:val="auto"/>
        </w:rPr>
      </w:pPr>
      <w:r w:rsidRPr="00B90298">
        <w:rPr>
          <w:color w:val="auto"/>
        </w:rPr>
        <w:t>Nutritional education</w:t>
      </w:r>
    </w:p>
    <w:p w14:paraId="7A2173A8" w14:textId="77777777" w:rsidR="0041175B" w:rsidRPr="00B90298" w:rsidRDefault="0041175B" w:rsidP="0041175B">
      <w:pPr>
        <w:pStyle w:val="Default"/>
        <w:numPr>
          <w:ilvl w:val="0"/>
          <w:numId w:val="8"/>
        </w:numPr>
        <w:ind w:left="927"/>
        <w:rPr>
          <w:color w:val="auto"/>
        </w:rPr>
      </w:pPr>
      <w:r w:rsidRPr="00B90298">
        <w:rPr>
          <w:color w:val="auto"/>
        </w:rPr>
        <w:t>Signposting and referrals</w:t>
      </w:r>
    </w:p>
    <w:p w14:paraId="705EFBF3" w14:textId="77777777" w:rsidR="0041175B" w:rsidRDefault="0041175B" w:rsidP="0041175B">
      <w:pPr>
        <w:pStyle w:val="Default"/>
        <w:numPr>
          <w:ilvl w:val="0"/>
          <w:numId w:val="8"/>
        </w:numPr>
        <w:ind w:left="927"/>
        <w:rPr>
          <w:color w:val="auto"/>
        </w:rPr>
      </w:pPr>
      <w:r w:rsidRPr="00B90298">
        <w:rPr>
          <w:color w:val="auto"/>
        </w:rPr>
        <w:t>Policies and procedures</w:t>
      </w:r>
    </w:p>
    <w:p w14:paraId="06F4864D" w14:textId="77777777" w:rsidR="0041175B" w:rsidRDefault="0041175B" w:rsidP="0041175B">
      <w:pPr>
        <w:pStyle w:val="Default"/>
        <w:ind w:left="927"/>
        <w:rPr>
          <w:color w:val="auto"/>
        </w:rPr>
      </w:pPr>
    </w:p>
    <w:p w14:paraId="6DD0F689" w14:textId="70E6EA8E" w:rsidR="0041175B" w:rsidRPr="0041175B" w:rsidRDefault="0041175B" w:rsidP="00B40C9E">
      <w:pPr>
        <w:pStyle w:val="ListParagraph"/>
        <w:numPr>
          <w:ilvl w:val="0"/>
          <w:numId w:val="15"/>
        </w:numPr>
      </w:pPr>
      <w:r w:rsidRPr="005641B1">
        <w:rPr>
          <w:szCs w:val="24"/>
        </w:rPr>
        <w:t>The programme will provide free places to eligible children for the equivalent of at least four hours a day, four days a week, six weeks a year. This covers four weeks in the summer and a week’s worth of provision in each of the Easter and Christmas holidays. Local authorities and their providers have flexibility about how they deliver this level of provision.</w:t>
      </w:r>
    </w:p>
    <w:p w14:paraId="65C13FAC" w14:textId="77777777" w:rsidR="0041175B" w:rsidRPr="0041175B" w:rsidRDefault="0041175B" w:rsidP="00B40C9E">
      <w:pPr>
        <w:pStyle w:val="ListParagraph"/>
        <w:ind w:left="360"/>
      </w:pPr>
    </w:p>
    <w:p w14:paraId="1ABA3C24" w14:textId="250E140A" w:rsidR="00932343" w:rsidRPr="00932343" w:rsidRDefault="0041175B" w:rsidP="00254856">
      <w:pPr>
        <w:pStyle w:val="ListParagraph"/>
        <w:numPr>
          <w:ilvl w:val="0"/>
          <w:numId w:val="15"/>
        </w:numPr>
        <w:rPr>
          <w:b/>
          <w:bCs/>
          <w:szCs w:val="24"/>
        </w:rPr>
      </w:pPr>
      <w:r w:rsidRPr="00932343">
        <w:rPr>
          <w:szCs w:val="24"/>
        </w:rPr>
        <w:t xml:space="preserve">For 2022/23 the grant is </w:t>
      </w:r>
      <w:r>
        <w:t>£663,060.</w:t>
      </w:r>
    </w:p>
    <w:p w14:paraId="600BDEC6" w14:textId="77777777" w:rsidR="00932343" w:rsidRDefault="00932343" w:rsidP="0041175B">
      <w:pPr>
        <w:pStyle w:val="ListParagraph"/>
        <w:ind w:left="360"/>
        <w:rPr>
          <w:b/>
          <w:bCs/>
          <w:szCs w:val="24"/>
        </w:rPr>
      </w:pPr>
    </w:p>
    <w:p w14:paraId="77338922" w14:textId="10570BC2" w:rsidR="0041175B" w:rsidRPr="004D1485" w:rsidRDefault="0041175B" w:rsidP="0041175B">
      <w:pPr>
        <w:pStyle w:val="ListParagraph"/>
        <w:ind w:left="360"/>
        <w:rPr>
          <w:b/>
          <w:bCs/>
        </w:rPr>
      </w:pPr>
      <w:r w:rsidRPr="004D1485">
        <w:rPr>
          <w:b/>
          <w:bCs/>
          <w:szCs w:val="24"/>
        </w:rPr>
        <w:t>Young People’s Mental Health Pathway</w:t>
      </w:r>
    </w:p>
    <w:p w14:paraId="0F20CA9A" w14:textId="77777777" w:rsidR="0041175B" w:rsidRPr="00F47D4C" w:rsidRDefault="0041175B" w:rsidP="0041175B">
      <w:pPr>
        <w:pStyle w:val="ListParagraph"/>
        <w:ind w:left="360"/>
      </w:pPr>
    </w:p>
    <w:p w14:paraId="78092320" w14:textId="77777777" w:rsidR="0041175B" w:rsidRDefault="0041175B" w:rsidP="00B40C9E">
      <w:pPr>
        <w:pStyle w:val="ListParagraph"/>
        <w:numPr>
          <w:ilvl w:val="0"/>
          <w:numId w:val="15"/>
        </w:numPr>
      </w:pPr>
      <w:r>
        <w:t xml:space="preserve"> </w:t>
      </w:r>
      <w:r w:rsidRPr="00AD3EE6">
        <w:t>C</w:t>
      </w:r>
      <w:r>
        <w:t xml:space="preserve">entral </w:t>
      </w:r>
      <w:r w:rsidRPr="00AD3EE6">
        <w:t>N</w:t>
      </w:r>
      <w:r>
        <w:t xml:space="preserve">orth </w:t>
      </w:r>
      <w:r w:rsidRPr="00AD3EE6">
        <w:t>W</w:t>
      </w:r>
      <w:r>
        <w:t xml:space="preserve">est </w:t>
      </w:r>
      <w:r w:rsidRPr="00AD3EE6">
        <w:t>L</w:t>
      </w:r>
      <w:r>
        <w:t>ondon Trust (CNWL)</w:t>
      </w:r>
      <w:r w:rsidRPr="00AD3EE6">
        <w:t xml:space="preserve"> is leading on the transformation of mental health care for young adults (16-25 years)</w:t>
      </w:r>
      <w:r>
        <w:t xml:space="preserve"> within North West London (NWL)</w:t>
      </w:r>
      <w:r w:rsidRPr="00AD3EE6">
        <w:t xml:space="preserve">. The new pathway will provide a high quality, safe and effective access tailored for the 16-25 age range, aiming to reduce gaps, address unmet needs, facilitate smooth transitions, and ensure a positive service user experience.  </w:t>
      </w:r>
    </w:p>
    <w:p w14:paraId="119570C6" w14:textId="77777777" w:rsidR="0041175B" w:rsidRDefault="0041175B" w:rsidP="0041175B">
      <w:pPr>
        <w:pStyle w:val="ListParagraph"/>
        <w:ind w:left="360"/>
      </w:pPr>
    </w:p>
    <w:p w14:paraId="2D141002" w14:textId="77777777" w:rsidR="0041175B" w:rsidRDefault="0041175B" w:rsidP="00B40C9E">
      <w:pPr>
        <w:pStyle w:val="ListParagraph"/>
        <w:numPr>
          <w:ilvl w:val="0"/>
          <w:numId w:val="15"/>
        </w:numPr>
      </w:pPr>
      <w:r>
        <w:t xml:space="preserve">The </w:t>
      </w:r>
      <w:r w:rsidRPr="00FC518E">
        <w:t>new NWL Young Adult Mental Health Model has been</w:t>
      </w:r>
      <w:r>
        <w:t xml:space="preserve"> designed and </w:t>
      </w:r>
      <w:r w:rsidRPr="00FC518E">
        <w:t xml:space="preserve">developed </w:t>
      </w:r>
      <w:r>
        <w:t xml:space="preserve">by young people and in partnership </w:t>
      </w:r>
      <w:r w:rsidRPr="00FC518E">
        <w:t xml:space="preserve">with </w:t>
      </w:r>
      <w:r>
        <w:t xml:space="preserve">stakeholders and local organisations based within Harrow.  </w:t>
      </w:r>
    </w:p>
    <w:p w14:paraId="75B6D96A" w14:textId="77777777" w:rsidR="0041175B" w:rsidRDefault="0041175B" w:rsidP="0041175B">
      <w:pPr>
        <w:pStyle w:val="ListParagraph"/>
      </w:pPr>
    </w:p>
    <w:p w14:paraId="02BFBCA9" w14:textId="77777777" w:rsidR="0041175B" w:rsidRDefault="0041175B" w:rsidP="00B40C9E">
      <w:pPr>
        <w:pStyle w:val="ListParagraph"/>
        <w:numPr>
          <w:ilvl w:val="0"/>
          <w:numId w:val="15"/>
        </w:numPr>
      </w:pPr>
      <w:r>
        <w:t>The model i</w:t>
      </w:r>
      <w:r w:rsidRPr="00FC518E">
        <w:t>s built on the requirements from the NHS Long Term Plan</w:t>
      </w:r>
      <w:r>
        <w:t xml:space="preserve"> with resources allocated on a borough wide level.  CNWL</w:t>
      </w:r>
      <w:r w:rsidRPr="00E84CF3">
        <w:t xml:space="preserve"> </w:t>
      </w:r>
      <w:r>
        <w:t>are now moving towards the implementation of the new model and looking to tailor this model to meet local needs in each NWL borough and to have impact and work to;</w:t>
      </w:r>
    </w:p>
    <w:p w14:paraId="10B54A55" w14:textId="77777777" w:rsidR="0041175B" w:rsidRDefault="0041175B" w:rsidP="0041175B">
      <w:pPr>
        <w:pStyle w:val="ListParagraph"/>
      </w:pPr>
    </w:p>
    <w:p w14:paraId="15F1556F" w14:textId="77777777" w:rsidR="0041175B" w:rsidRDefault="0041175B" w:rsidP="0041175B">
      <w:pPr>
        <w:pStyle w:val="ListParagraph"/>
        <w:numPr>
          <w:ilvl w:val="0"/>
          <w:numId w:val="9"/>
        </w:numPr>
      </w:pPr>
      <w:r>
        <w:t>Improve equality of access to early intervention</w:t>
      </w:r>
    </w:p>
    <w:p w14:paraId="6667306E" w14:textId="77777777" w:rsidR="0041175B" w:rsidRDefault="0041175B" w:rsidP="0041175B">
      <w:pPr>
        <w:pStyle w:val="ListParagraph"/>
        <w:numPr>
          <w:ilvl w:val="0"/>
          <w:numId w:val="9"/>
        </w:numPr>
      </w:pPr>
      <w:r>
        <w:t>Address inequalities and better identify unmet need</w:t>
      </w:r>
    </w:p>
    <w:p w14:paraId="1FB9D324" w14:textId="77777777" w:rsidR="0041175B" w:rsidRDefault="0041175B" w:rsidP="0041175B">
      <w:pPr>
        <w:pStyle w:val="ListParagraph"/>
        <w:numPr>
          <w:ilvl w:val="0"/>
          <w:numId w:val="9"/>
        </w:numPr>
      </w:pPr>
      <w:r>
        <w:t>Improve access and quality of mental health provision</w:t>
      </w:r>
    </w:p>
    <w:p w14:paraId="36E5C420" w14:textId="77777777" w:rsidR="0041175B" w:rsidRDefault="0041175B" w:rsidP="0041175B">
      <w:pPr>
        <w:pStyle w:val="ListParagraph"/>
        <w:numPr>
          <w:ilvl w:val="0"/>
          <w:numId w:val="9"/>
        </w:numPr>
      </w:pPr>
      <w:r>
        <w:t xml:space="preserve">Engagement and navigation of support </w:t>
      </w:r>
    </w:p>
    <w:p w14:paraId="27A1D45F" w14:textId="77777777" w:rsidR="0041175B" w:rsidRDefault="0041175B" w:rsidP="0041175B"/>
    <w:p w14:paraId="065D04B3" w14:textId="77777777" w:rsidR="0041175B" w:rsidRDefault="0041175B" w:rsidP="00B40C9E">
      <w:pPr>
        <w:pStyle w:val="ListParagraph"/>
        <w:numPr>
          <w:ilvl w:val="0"/>
          <w:numId w:val="15"/>
        </w:numPr>
      </w:pPr>
      <w:r>
        <w:t xml:space="preserve"> In order to achieve this, CNWL have developed a Community Grants Scheme to support the local voluntary sector.  The grant is flexible and could</w:t>
      </w:r>
      <w:r w:rsidRPr="00DB3803">
        <w:t xml:space="preserve"> scale up a current project that is proven to work </w:t>
      </w:r>
      <w:r>
        <w:t xml:space="preserve">or </w:t>
      </w:r>
      <w:r w:rsidRPr="00DB3803">
        <w:t xml:space="preserve">by extending a current project </w:t>
      </w:r>
      <w:r>
        <w:t xml:space="preserve">or </w:t>
      </w:r>
      <w:r w:rsidRPr="00DB3803">
        <w:t>develop new or different ways to work better between organisations.</w:t>
      </w:r>
    </w:p>
    <w:p w14:paraId="398A05BE" w14:textId="77777777" w:rsidR="0041175B" w:rsidRDefault="0041175B" w:rsidP="0041175B">
      <w:pPr>
        <w:pStyle w:val="ListParagraph"/>
        <w:ind w:left="360"/>
      </w:pPr>
    </w:p>
    <w:p w14:paraId="1950E15C" w14:textId="667A2302" w:rsidR="0041175B" w:rsidRDefault="0041175B" w:rsidP="005302F9">
      <w:pPr>
        <w:pStyle w:val="ListParagraph"/>
        <w:numPr>
          <w:ilvl w:val="0"/>
          <w:numId w:val="15"/>
        </w:numPr>
      </w:pPr>
      <w:r w:rsidRPr="0041175B">
        <w:rPr>
          <w:szCs w:val="24"/>
        </w:rPr>
        <w:t xml:space="preserve">For 2022/23 the grant is </w:t>
      </w:r>
      <w:r>
        <w:t>£74,000</w:t>
      </w:r>
    </w:p>
    <w:p w14:paraId="70C8DA21" w14:textId="77777777" w:rsidR="0041175B" w:rsidRPr="007D4FC4" w:rsidRDefault="0041175B" w:rsidP="0041175B">
      <w:pPr>
        <w:rPr>
          <w:b/>
        </w:rPr>
      </w:pPr>
    </w:p>
    <w:p w14:paraId="12B2B7E2" w14:textId="1DBBD6FE" w:rsidR="00333FAA" w:rsidRPr="007D4FC4" w:rsidRDefault="00333FAA" w:rsidP="0054590F">
      <w:pPr>
        <w:pStyle w:val="Heading4"/>
        <w:tabs>
          <w:tab w:val="left" w:pos="3600"/>
        </w:tabs>
        <w:rPr>
          <w:szCs w:val="24"/>
        </w:rPr>
      </w:pPr>
      <w:r w:rsidRPr="007D4FC4">
        <w:rPr>
          <w:szCs w:val="24"/>
        </w:rPr>
        <w:t>Performance Issues</w:t>
      </w:r>
    </w:p>
    <w:p w14:paraId="4A338A5E" w14:textId="3650058D" w:rsidR="00D23D3B" w:rsidRDefault="00D23D3B" w:rsidP="00D23D3B"/>
    <w:p w14:paraId="0CDAFD1F" w14:textId="34834364" w:rsidR="00714BEE" w:rsidRPr="00765487" w:rsidRDefault="0080698D" w:rsidP="00B40C9E">
      <w:pPr>
        <w:pStyle w:val="ListParagraph"/>
        <w:numPr>
          <w:ilvl w:val="0"/>
          <w:numId w:val="15"/>
        </w:numPr>
        <w:tabs>
          <w:tab w:val="left" w:pos="7245"/>
        </w:tabs>
        <w:rPr>
          <w:i/>
        </w:rPr>
      </w:pPr>
      <w:r w:rsidRPr="00765487">
        <w:t xml:space="preserve">The performance of Young Harrow Foundation to fulfil the </w:t>
      </w:r>
      <w:r w:rsidR="00A8123F" w:rsidRPr="00765487">
        <w:t xml:space="preserve">2021 HAF </w:t>
      </w:r>
      <w:r w:rsidRPr="00765487">
        <w:t xml:space="preserve">programmes aims and objects </w:t>
      </w:r>
      <w:r w:rsidR="00A8123F" w:rsidRPr="00765487">
        <w:t xml:space="preserve">has </w:t>
      </w:r>
      <w:r w:rsidRPr="00765487">
        <w:t>be</w:t>
      </w:r>
      <w:r w:rsidR="0030702F" w:rsidRPr="00765487">
        <w:t>en</w:t>
      </w:r>
      <w:r w:rsidRPr="00765487">
        <w:t xml:space="preserve"> monitored and evaluated </w:t>
      </w:r>
      <w:r w:rsidR="006D1114" w:rsidRPr="00765487">
        <w:t>throughout each holiday activity period.</w:t>
      </w:r>
    </w:p>
    <w:p w14:paraId="70E9D690" w14:textId="13431C98" w:rsidR="006D1114" w:rsidRPr="00765487" w:rsidRDefault="006D1114" w:rsidP="006D1114">
      <w:pPr>
        <w:tabs>
          <w:tab w:val="left" w:pos="7245"/>
        </w:tabs>
        <w:rPr>
          <w:i/>
        </w:rPr>
      </w:pPr>
    </w:p>
    <w:p w14:paraId="7DE93F3E" w14:textId="6A977F79" w:rsidR="005B3461" w:rsidRPr="00765487" w:rsidRDefault="004522E9" w:rsidP="00B40C9E">
      <w:pPr>
        <w:pStyle w:val="ListParagraph"/>
        <w:numPr>
          <w:ilvl w:val="0"/>
          <w:numId w:val="15"/>
        </w:numPr>
        <w:rPr>
          <w:rFonts w:cs="Arial"/>
          <w:iCs/>
        </w:rPr>
      </w:pPr>
      <w:r w:rsidRPr="00765487">
        <w:rPr>
          <w:rFonts w:cs="Arial"/>
          <w:iCs/>
        </w:rPr>
        <w:t xml:space="preserve"> </w:t>
      </w:r>
      <w:r w:rsidR="0061339F" w:rsidRPr="00765487">
        <w:rPr>
          <w:rFonts w:cs="Arial"/>
          <w:iCs/>
        </w:rPr>
        <w:t>From the 2</w:t>
      </w:r>
      <w:r w:rsidR="001C6602" w:rsidRPr="00765487">
        <w:rPr>
          <w:rFonts w:cs="Arial"/>
          <w:iCs/>
        </w:rPr>
        <w:t>021</w:t>
      </w:r>
      <w:r w:rsidR="002B6F11" w:rsidRPr="00765487">
        <w:rPr>
          <w:rFonts w:cs="Arial"/>
          <w:iCs/>
        </w:rPr>
        <w:t xml:space="preserve"> </w:t>
      </w:r>
      <w:r w:rsidR="00A2598E" w:rsidRPr="00765487">
        <w:rPr>
          <w:rFonts w:cs="Arial"/>
          <w:iCs/>
        </w:rPr>
        <w:t>HAF</w:t>
      </w:r>
      <w:r w:rsidR="009A776F" w:rsidRPr="00765487">
        <w:rPr>
          <w:rFonts w:cs="Arial"/>
          <w:iCs/>
        </w:rPr>
        <w:t xml:space="preserve"> target </w:t>
      </w:r>
      <w:r w:rsidR="009A21FB" w:rsidRPr="00765487">
        <w:rPr>
          <w:rFonts w:cs="Arial"/>
          <w:iCs/>
        </w:rPr>
        <w:t>reach</w:t>
      </w:r>
      <w:r w:rsidR="004E35D8" w:rsidRPr="00765487">
        <w:rPr>
          <w:rFonts w:cs="Arial"/>
          <w:iCs/>
        </w:rPr>
        <w:t>, o</w:t>
      </w:r>
      <w:r w:rsidR="005B3461" w:rsidRPr="00765487">
        <w:rPr>
          <w:rFonts w:cs="Arial"/>
          <w:iCs/>
        </w:rPr>
        <w:t xml:space="preserve">f Harrow’s school’s pupils, 34,709 </w:t>
      </w:r>
      <w:r w:rsidR="004E35D8" w:rsidRPr="00765487">
        <w:rPr>
          <w:rFonts w:cs="Arial"/>
          <w:iCs/>
        </w:rPr>
        <w:t xml:space="preserve">that were </w:t>
      </w:r>
      <w:r w:rsidR="005B3461" w:rsidRPr="00765487">
        <w:rPr>
          <w:rFonts w:cs="Arial"/>
          <w:iCs/>
        </w:rPr>
        <w:t xml:space="preserve">of compulsory school age pupils (Reception to Year 11), 4,979 pupils (14%) </w:t>
      </w:r>
      <w:r w:rsidR="004E35D8" w:rsidRPr="00765487">
        <w:rPr>
          <w:rFonts w:cs="Arial"/>
          <w:iCs/>
        </w:rPr>
        <w:t xml:space="preserve">were </w:t>
      </w:r>
      <w:r w:rsidR="005B3461" w:rsidRPr="00765487">
        <w:rPr>
          <w:rFonts w:cs="Arial"/>
          <w:iCs/>
        </w:rPr>
        <w:t xml:space="preserve">eligible for Free School Meals (FSM) as at the October 2020 school census. </w:t>
      </w:r>
      <w:r w:rsidR="00AB4891" w:rsidRPr="00765487">
        <w:rPr>
          <w:bCs/>
          <w:szCs w:val="24"/>
        </w:rPr>
        <w:t>Of the eligible pupils 4,233 pupils are residents of Harrow</w:t>
      </w:r>
      <w:r w:rsidR="00FB63E7" w:rsidRPr="00765487">
        <w:rPr>
          <w:bCs/>
          <w:szCs w:val="24"/>
        </w:rPr>
        <w:t>.</w:t>
      </w:r>
    </w:p>
    <w:p w14:paraId="39FFAC44" w14:textId="42BA3DFF" w:rsidR="005B3461" w:rsidRPr="00765487" w:rsidRDefault="005B3461" w:rsidP="005B3461">
      <w:pPr>
        <w:rPr>
          <w:iCs/>
        </w:rPr>
      </w:pPr>
      <w:r w:rsidRPr="00765487">
        <w:rPr>
          <w:iCs/>
        </w:rPr>
        <w:t xml:space="preserve"> </w:t>
      </w:r>
    </w:p>
    <w:p w14:paraId="10ACAC64" w14:textId="510BD25B" w:rsidR="006D1114" w:rsidRPr="00765487" w:rsidRDefault="00A16861" w:rsidP="00B40C9E">
      <w:pPr>
        <w:pStyle w:val="ListParagraph"/>
        <w:numPr>
          <w:ilvl w:val="0"/>
          <w:numId w:val="15"/>
        </w:numPr>
        <w:tabs>
          <w:tab w:val="left" w:pos="7245"/>
        </w:tabs>
        <w:rPr>
          <w:iCs/>
        </w:rPr>
      </w:pPr>
      <w:r w:rsidRPr="00765487">
        <w:rPr>
          <w:iCs/>
        </w:rPr>
        <w:t>The performance of YHF for the delivery of future funded schemes will be reported to the Steering Group.</w:t>
      </w:r>
    </w:p>
    <w:p w14:paraId="1741C1E3" w14:textId="77777777" w:rsidR="00A8123F" w:rsidRPr="00A8123F" w:rsidRDefault="00A8123F" w:rsidP="00A8123F">
      <w:pPr>
        <w:pStyle w:val="ListParagraph"/>
        <w:tabs>
          <w:tab w:val="left" w:pos="7245"/>
        </w:tabs>
        <w:ind w:left="360"/>
        <w:rPr>
          <w:i/>
          <w:color w:val="0000FF"/>
        </w:rPr>
      </w:pPr>
    </w:p>
    <w:p w14:paraId="482D5093" w14:textId="4C6671BC" w:rsidR="00333FAA" w:rsidRPr="003920B9" w:rsidRDefault="00333FAA" w:rsidP="0054590F">
      <w:pPr>
        <w:pStyle w:val="Heading4"/>
        <w:rPr>
          <w:szCs w:val="24"/>
        </w:rPr>
      </w:pPr>
      <w:r w:rsidRPr="003920B9">
        <w:rPr>
          <w:szCs w:val="24"/>
        </w:rPr>
        <w:t>Environmental Implications</w:t>
      </w:r>
    </w:p>
    <w:p w14:paraId="725E999E" w14:textId="33A94634" w:rsidR="000929A6" w:rsidRDefault="000929A6" w:rsidP="001472A8">
      <w:pPr>
        <w:rPr>
          <w:color w:val="0000FF"/>
        </w:rPr>
      </w:pPr>
    </w:p>
    <w:p w14:paraId="7FF71845" w14:textId="642CC03C" w:rsidR="003920B9" w:rsidRPr="0015749E" w:rsidRDefault="003920B9" w:rsidP="00B40C9E">
      <w:pPr>
        <w:pStyle w:val="ListParagraph"/>
        <w:numPr>
          <w:ilvl w:val="0"/>
          <w:numId w:val="15"/>
        </w:numPr>
        <w:rPr>
          <w:iCs/>
        </w:rPr>
      </w:pPr>
      <w:r>
        <w:t>There are no environmental factors identified from this report</w:t>
      </w:r>
    </w:p>
    <w:p w14:paraId="0E644E34" w14:textId="77777777" w:rsidR="00A56684" w:rsidRDefault="00A56684" w:rsidP="002A3FEF">
      <w:pPr>
        <w:pStyle w:val="Heading4"/>
        <w:rPr>
          <w:color w:val="0000FF"/>
          <w:szCs w:val="24"/>
        </w:rPr>
      </w:pPr>
    </w:p>
    <w:p w14:paraId="3251A91E" w14:textId="4D6B26A8" w:rsidR="00A56684" w:rsidRPr="00C22791" w:rsidRDefault="002A3FEF" w:rsidP="00A56684">
      <w:pPr>
        <w:pStyle w:val="Heading4"/>
        <w:rPr>
          <w:szCs w:val="24"/>
        </w:rPr>
      </w:pPr>
      <w:r w:rsidRPr="00C22791">
        <w:rPr>
          <w:szCs w:val="24"/>
        </w:rPr>
        <w:t>Dat</w:t>
      </w:r>
      <w:r w:rsidR="00DE72CF" w:rsidRPr="00C22791">
        <w:rPr>
          <w:szCs w:val="24"/>
        </w:rPr>
        <w:t>a</w:t>
      </w:r>
      <w:r w:rsidRPr="00C22791">
        <w:rPr>
          <w:szCs w:val="24"/>
        </w:rPr>
        <w:t xml:space="preserve"> Protection Implications</w:t>
      </w:r>
    </w:p>
    <w:p w14:paraId="22B6C909" w14:textId="594B151E" w:rsidR="00A56684" w:rsidRDefault="00A56684" w:rsidP="00A56684"/>
    <w:p w14:paraId="7690E321" w14:textId="03C65775" w:rsidR="00A56684" w:rsidRPr="0015749E" w:rsidRDefault="00A56684" w:rsidP="00B40C9E">
      <w:pPr>
        <w:pStyle w:val="ListParagraph"/>
        <w:numPr>
          <w:ilvl w:val="0"/>
          <w:numId w:val="15"/>
        </w:numPr>
        <w:rPr>
          <w:iCs/>
        </w:rPr>
      </w:pPr>
      <w:r w:rsidRPr="0015749E">
        <w:rPr>
          <w:iCs/>
        </w:rPr>
        <w:t xml:space="preserve">Young Harrow Foundation have in place an active signed data protection agreement with the Council.  If required YHF will sign </w:t>
      </w:r>
      <w:r w:rsidR="0030702F">
        <w:rPr>
          <w:iCs/>
        </w:rPr>
        <w:t>further</w:t>
      </w:r>
      <w:r w:rsidRPr="0015749E">
        <w:rPr>
          <w:iCs/>
        </w:rPr>
        <w:t xml:space="preserve"> agreement</w:t>
      </w:r>
      <w:r w:rsidR="0030702F">
        <w:rPr>
          <w:iCs/>
        </w:rPr>
        <w:t>s</w:t>
      </w:r>
      <w:r w:rsidRPr="0015749E">
        <w:rPr>
          <w:iCs/>
        </w:rPr>
        <w:t xml:space="preserve"> in relation to </w:t>
      </w:r>
      <w:r w:rsidR="0030702F">
        <w:rPr>
          <w:iCs/>
        </w:rPr>
        <w:t xml:space="preserve">data for example, </w:t>
      </w:r>
      <w:r w:rsidRPr="0015749E">
        <w:rPr>
          <w:iCs/>
        </w:rPr>
        <w:t xml:space="preserve">FSM data and requirements from the </w:t>
      </w:r>
      <w:r w:rsidR="0030702F">
        <w:rPr>
          <w:iCs/>
        </w:rPr>
        <w:t>funders eg DfE</w:t>
      </w:r>
      <w:r w:rsidRPr="0015749E">
        <w:rPr>
          <w:iCs/>
        </w:rPr>
        <w:t>.</w:t>
      </w:r>
    </w:p>
    <w:p w14:paraId="2F6654A9" w14:textId="77777777" w:rsidR="00A56684" w:rsidRDefault="00A56684" w:rsidP="00A56684">
      <w:pPr>
        <w:ind w:left="567" w:hanging="567"/>
        <w:rPr>
          <w:iCs/>
        </w:rPr>
      </w:pPr>
    </w:p>
    <w:p w14:paraId="03CAB1FD" w14:textId="20BBFBE4" w:rsidR="00A56684" w:rsidRPr="0015749E" w:rsidRDefault="00A56684" w:rsidP="00B40C9E">
      <w:pPr>
        <w:pStyle w:val="ListParagraph"/>
        <w:numPr>
          <w:ilvl w:val="0"/>
          <w:numId w:val="15"/>
        </w:numPr>
        <w:rPr>
          <w:iCs/>
        </w:rPr>
      </w:pPr>
      <w:r w:rsidRPr="0015749E">
        <w:rPr>
          <w:iCs/>
        </w:rPr>
        <w:t>All providers commissioned by YHF will be asked to submit their GDPR policy and data protection agreement.</w:t>
      </w:r>
    </w:p>
    <w:p w14:paraId="31EBECC9" w14:textId="77777777" w:rsidR="0051296A" w:rsidRDefault="0051296A" w:rsidP="000E4488">
      <w:pPr>
        <w:pStyle w:val="Heading3"/>
        <w:spacing w:before="480" w:after="240"/>
      </w:pPr>
    </w:p>
    <w:p w14:paraId="050C1713" w14:textId="06B391C5" w:rsidR="00105B8A" w:rsidRPr="000E4488" w:rsidRDefault="00A81E19" w:rsidP="000E4488">
      <w:pPr>
        <w:pStyle w:val="Heading3"/>
        <w:spacing w:before="480" w:after="240"/>
      </w:pPr>
      <w:r>
        <w:lastRenderedPageBreak/>
        <w:t>Risk Management Implications</w:t>
      </w:r>
      <w:bookmarkStart w:id="1" w:name="_Hlk60923477"/>
      <w:bookmarkStart w:id="2" w:name="_Hlk60922991"/>
      <w:bookmarkStart w:id="3" w:name="_Hlk60923939"/>
    </w:p>
    <w:p w14:paraId="40D3B42D" w14:textId="716FFF92" w:rsidR="00C17DD4" w:rsidRPr="004D2520" w:rsidRDefault="00C53F1A" w:rsidP="00C17DD4">
      <w:pPr>
        <w:pStyle w:val="ListParagraph"/>
        <w:numPr>
          <w:ilvl w:val="0"/>
          <w:numId w:val="15"/>
        </w:numPr>
        <w:tabs>
          <w:tab w:val="left" w:pos="5610"/>
        </w:tabs>
        <w:ind w:right="81"/>
        <w:rPr>
          <w:b/>
          <w:bCs/>
        </w:rPr>
      </w:pPr>
      <w:r w:rsidRPr="00953038">
        <w:rPr>
          <w:rFonts w:cs="Arial"/>
          <w:szCs w:val="24"/>
          <w:lang w:val="en-US"/>
        </w:rPr>
        <w:t xml:space="preserve">Risks included on corporate or directorate risk register? </w:t>
      </w:r>
      <w:r w:rsidR="00E774EB" w:rsidRPr="004D2520">
        <w:rPr>
          <w:rFonts w:cs="Arial"/>
          <w:b/>
          <w:bCs/>
          <w:szCs w:val="24"/>
          <w:lang w:val="en-US"/>
        </w:rPr>
        <w:t xml:space="preserve">Yes </w:t>
      </w:r>
      <w:r w:rsidR="00953038" w:rsidRPr="004D2520">
        <w:rPr>
          <w:rFonts w:cs="Arial"/>
          <w:b/>
          <w:bCs/>
          <w:szCs w:val="24"/>
          <w:lang w:val="en-US"/>
        </w:rPr>
        <w:t>– Directorate Risk Register</w:t>
      </w:r>
    </w:p>
    <w:p w14:paraId="5C0573F3" w14:textId="77777777" w:rsidR="005C6F65" w:rsidRPr="00953038" w:rsidRDefault="005C6F65" w:rsidP="00953038">
      <w:pPr>
        <w:pStyle w:val="ListParagraph"/>
        <w:rPr>
          <w:rFonts w:cs="Arial"/>
          <w:szCs w:val="24"/>
          <w:lang w:eastAsia="en-GB"/>
        </w:rPr>
      </w:pPr>
    </w:p>
    <w:p w14:paraId="0300704F" w14:textId="05B51A90" w:rsidR="005C6F65" w:rsidRPr="00953038" w:rsidRDefault="00D90EA8" w:rsidP="005C6F65">
      <w:pPr>
        <w:pStyle w:val="ListParagraph"/>
        <w:numPr>
          <w:ilvl w:val="0"/>
          <w:numId w:val="15"/>
        </w:numPr>
        <w:tabs>
          <w:tab w:val="left" w:pos="5610"/>
        </w:tabs>
        <w:ind w:right="81"/>
      </w:pPr>
      <w:r w:rsidRPr="00953038">
        <w:rPr>
          <w:rFonts w:cs="Arial"/>
          <w:szCs w:val="24"/>
          <w:lang w:eastAsia="en-GB"/>
        </w:rPr>
        <w:t xml:space="preserve">Separate risk register in place? </w:t>
      </w:r>
      <w:r w:rsidRPr="004D2520">
        <w:rPr>
          <w:rFonts w:cs="Arial"/>
          <w:b/>
          <w:bCs/>
          <w:szCs w:val="24"/>
          <w:lang w:eastAsia="en-GB"/>
        </w:rPr>
        <w:t>No</w:t>
      </w:r>
      <w:r w:rsidRPr="00953038">
        <w:rPr>
          <w:rFonts w:cs="Arial"/>
          <w:szCs w:val="24"/>
          <w:lang w:eastAsia="en-GB"/>
        </w:rPr>
        <w:t xml:space="preserve"> </w:t>
      </w:r>
    </w:p>
    <w:p w14:paraId="42E1439E" w14:textId="77777777" w:rsidR="005C6F65" w:rsidRPr="00953038" w:rsidRDefault="005C6F65" w:rsidP="005C6F65">
      <w:pPr>
        <w:pStyle w:val="ListParagraph"/>
        <w:rPr>
          <w:rFonts w:cs="Arial"/>
          <w:szCs w:val="24"/>
          <w:lang w:eastAsia="en-GB"/>
        </w:rPr>
      </w:pPr>
    </w:p>
    <w:p w14:paraId="392317F6" w14:textId="46DD9BBA" w:rsidR="00D90EA8" w:rsidRPr="00953038" w:rsidRDefault="00D90EA8" w:rsidP="005C6F65">
      <w:pPr>
        <w:pStyle w:val="ListParagraph"/>
        <w:numPr>
          <w:ilvl w:val="0"/>
          <w:numId w:val="15"/>
        </w:numPr>
        <w:tabs>
          <w:tab w:val="left" w:pos="5610"/>
        </w:tabs>
        <w:ind w:right="81"/>
      </w:pPr>
      <w:r w:rsidRPr="00953038">
        <w:rPr>
          <w:rFonts w:cs="Arial"/>
          <w:szCs w:val="24"/>
          <w:lang w:eastAsia="en-GB"/>
        </w:rPr>
        <w:t xml:space="preserve">The relevant risks contained in the register are attached/summarised below. </w:t>
      </w:r>
      <w:r w:rsidRPr="004D2520">
        <w:rPr>
          <w:rFonts w:cs="Arial"/>
          <w:b/>
          <w:bCs/>
          <w:szCs w:val="24"/>
          <w:lang w:eastAsia="en-GB"/>
        </w:rPr>
        <w:t>Yes</w:t>
      </w:r>
    </w:p>
    <w:p w14:paraId="125B132F" w14:textId="18540DAD" w:rsidR="00D90EA8" w:rsidRPr="00953038" w:rsidRDefault="00D90EA8" w:rsidP="00D90EA8">
      <w:pPr>
        <w:spacing w:before="100" w:beforeAutospacing="1" w:after="100" w:afterAutospacing="1"/>
        <w:rPr>
          <w:rFonts w:cs="Arial"/>
          <w:szCs w:val="24"/>
          <w:lang w:eastAsia="en-GB"/>
        </w:rPr>
      </w:pPr>
      <w:r w:rsidRPr="00953038">
        <w:rPr>
          <w:rFonts w:cs="Arial"/>
          <w:szCs w:val="24"/>
          <w:lang w:eastAsia="en-GB"/>
        </w:rPr>
        <w:t>The following key risks should be taken into account when agreeing the recommendations in this report:</w:t>
      </w:r>
    </w:p>
    <w:tbl>
      <w:tblPr>
        <w:tblW w:w="8926"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958"/>
        <w:gridCol w:w="1701"/>
      </w:tblGrid>
      <w:tr w:rsidR="00380F87" w14:paraId="1404D484" w14:textId="77777777" w:rsidTr="00EA5C83">
        <w:trPr>
          <w:trHeight w:val="593"/>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055002" w14:paraId="4B1F0661" w14:textId="77777777" w:rsidTr="00EA5C8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1BEDB145" w:rsidR="00055002" w:rsidRDefault="00055002" w:rsidP="00055002">
            <w:pPr>
              <w:spacing w:line="247" w:lineRule="auto"/>
              <w:ind w:right="141"/>
              <w:rPr>
                <w:rFonts w:cs="Arial"/>
                <w:szCs w:val="24"/>
                <w:lang w:val="en-US" w:eastAsia="en-GB"/>
              </w:rPr>
            </w:pPr>
            <w:r>
              <w:rPr>
                <w:rFonts w:cs="Arial"/>
                <w:szCs w:val="24"/>
                <w:lang w:val="en-US" w:eastAsia="en-GB"/>
              </w:rPr>
              <w:t xml:space="preserve">Young Harrow Foundation (YHF) fail to deliver the </w:t>
            </w:r>
            <w:proofErr w:type="spellStart"/>
            <w:r>
              <w:rPr>
                <w:rFonts w:cs="Arial"/>
                <w:szCs w:val="24"/>
                <w:lang w:val="en-US" w:eastAsia="en-GB"/>
              </w:rPr>
              <w:t>programmes</w:t>
            </w:r>
            <w:proofErr w:type="spellEnd"/>
            <w:r>
              <w:rPr>
                <w:rFonts w:cs="Arial"/>
                <w:szCs w:val="24"/>
                <w:lang w:val="en-US" w:eastAsia="en-GB"/>
              </w:rPr>
              <w:t xml:space="preserve"> and comply with the grant conditions</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E5B36" w14:textId="34E74474" w:rsidR="00055002" w:rsidRDefault="00055002"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The </w:t>
            </w:r>
            <w:r w:rsidRPr="00547C7C">
              <w:rPr>
                <w:rFonts w:cs="Arial"/>
                <w:szCs w:val="24"/>
                <w:lang w:val="en-US" w:eastAsia="en-GB"/>
              </w:rPr>
              <w:t>performance will be monitored and evaluated through established governance arrangement</w:t>
            </w:r>
            <w:r w:rsidR="002163EC">
              <w:rPr>
                <w:rFonts w:cs="Arial"/>
                <w:szCs w:val="24"/>
                <w:lang w:val="en-US" w:eastAsia="en-GB"/>
              </w:rPr>
              <w:t xml:space="preserve">s </w:t>
            </w:r>
            <w:r w:rsidRPr="00547C7C">
              <w:rPr>
                <w:rFonts w:cs="Arial"/>
                <w:szCs w:val="24"/>
                <w:lang w:val="en-US" w:eastAsia="en-GB"/>
              </w:rPr>
              <w:t xml:space="preserve">with the Council </w:t>
            </w:r>
          </w:p>
          <w:p w14:paraId="4A7E0E18" w14:textId="38E719D8" w:rsidR="00055002" w:rsidRDefault="00055002"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The strategic group, chaired by Director </w:t>
            </w:r>
            <w:r w:rsidR="00EB40E3">
              <w:rPr>
                <w:rFonts w:cs="Arial"/>
                <w:szCs w:val="24"/>
                <w:lang w:val="en-US" w:eastAsia="en-GB"/>
              </w:rPr>
              <w:t>Children and Families</w:t>
            </w:r>
            <w:r>
              <w:rPr>
                <w:rFonts w:cs="Arial"/>
                <w:szCs w:val="24"/>
                <w:lang w:val="en-US" w:eastAsia="en-GB"/>
              </w:rPr>
              <w:t>, w</w:t>
            </w:r>
            <w:r w:rsidRPr="00D40F4F">
              <w:rPr>
                <w:rFonts w:cs="Arial"/>
                <w:szCs w:val="24"/>
                <w:lang w:val="en-US" w:eastAsia="en-GB"/>
              </w:rPr>
              <w:t xml:space="preserve">ill approve the plan for each </w:t>
            </w:r>
            <w:r w:rsidR="00365CDA">
              <w:rPr>
                <w:rFonts w:cs="Arial"/>
                <w:szCs w:val="24"/>
                <w:lang w:val="en-US" w:eastAsia="en-GB"/>
              </w:rPr>
              <w:t xml:space="preserve">grant funded </w:t>
            </w:r>
            <w:proofErr w:type="spellStart"/>
            <w:r w:rsidR="00365CDA">
              <w:rPr>
                <w:rFonts w:cs="Arial"/>
                <w:szCs w:val="24"/>
                <w:lang w:val="en-US" w:eastAsia="en-GB"/>
              </w:rPr>
              <w:t>programme</w:t>
            </w:r>
            <w:proofErr w:type="spellEnd"/>
            <w:r w:rsidRPr="00D40F4F">
              <w:rPr>
                <w:rFonts w:cs="Arial"/>
                <w:szCs w:val="24"/>
                <w:lang w:val="en-US" w:eastAsia="en-GB"/>
              </w:rPr>
              <w:t xml:space="preserve">, the VCS </w:t>
            </w:r>
            <w:proofErr w:type="spellStart"/>
            <w:r w:rsidRPr="00D40F4F">
              <w:rPr>
                <w:rFonts w:cs="Arial"/>
                <w:szCs w:val="24"/>
                <w:lang w:val="en-US" w:eastAsia="en-GB"/>
              </w:rPr>
              <w:t>organisations</w:t>
            </w:r>
            <w:proofErr w:type="spellEnd"/>
            <w:r>
              <w:rPr>
                <w:rFonts w:cs="Arial"/>
                <w:szCs w:val="24"/>
                <w:lang w:val="en-US" w:eastAsia="en-GB"/>
              </w:rPr>
              <w:t xml:space="preserve"> </w:t>
            </w:r>
            <w:r w:rsidRPr="00D40F4F">
              <w:rPr>
                <w:rFonts w:cs="Arial"/>
                <w:szCs w:val="24"/>
                <w:lang w:val="en-US" w:eastAsia="en-GB"/>
              </w:rPr>
              <w:t>deliver</w:t>
            </w:r>
            <w:r>
              <w:rPr>
                <w:rFonts w:cs="Arial"/>
                <w:szCs w:val="24"/>
                <w:lang w:val="en-US" w:eastAsia="en-GB"/>
              </w:rPr>
              <w:t>ing</w:t>
            </w:r>
            <w:r w:rsidRPr="00D40F4F">
              <w:rPr>
                <w:rFonts w:cs="Arial"/>
                <w:szCs w:val="24"/>
                <w:lang w:val="en-US" w:eastAsia="en-GB"/>
              </w:rPr>
              <w:t xml:space="preserve"> activities, financial expenditure, </w:t>
            </w:r>
            <w:r>
              <w:rPr>
                <w:rFonts w:cs="Arial"/>
                <w:szCs w:val="24"/>
                <w:lang w:val="en-US" w:eastAsia="en-GB"/>
              </w:rPr>
              <w:t xml:space="preserve">and </w:t>
            </w:r>
            <w:r w:rsidRPr="00D40F4F">
              <w:rPr>
                <w:rFonts w:cs="Arial"/>
                <w:szCs w:val="24"/>
                <w:lang w:val="en-US" w:eastAsia="en-GB"/>
              </w:rPr>
              <w:t>monitor</w:t>
            </w:r>
            <w:r>
              <w:rPr>
                <w:rFonts w:cs="Arial"/>
                <w:szCs w:val="24"/>
                <w:lang w:val="en-US" w:eastAsia="en-GB"/>
              </w:rPr>
              <w:t>ing</w:t>
            </w:r>
            <w:r w:rsidRPr="00D40F4F">
              <w:rPr>
                <w:rFonts w:cs="Arial"/>
                <w:szCs w:val="24"/>
                <w:lang w:val="en-US" w:eastAsia="en-GB"/>
              </w:rPr>
              <w:t xml:space="preserve"> performance against the YHF Plan and data returns to </w:t>
            </w:r>
            <w:r w:rsidR="00697A5F">
              <w:rPr>
                <w:rFonts w:cs="Arial"/>
                <w:szCs w:val="24"/>
                <w:lang w:val="en-US" w:eastAsia="en-GB"/>
              </w:rPr>
              <w:t>the funders.</w:t>
            </w:r>
            <w:r w:rsidRPr="00D40F4F">
              <w:rPr>
                <w:rFonts w:cs="Arial"/>
                <w:szCs w:val="24"/>
                <w:lang w:val="en-US" w:eastAsia="en-GB"/>
              </w:rPr>
              <w:t xml:space="preserve">  </w:t>
            </w:r>
          </w:p>
          <w:p w14:paraId="60EF82A3" w14:textId="39C2D6A7" w:rsidR="00055002" w:rsidRPr="00697A5F" w:rsidRDefault="00055002" w:rsidP="00D37957">
            <w:pPr>
              <w:pStyle w:val="ListParagraph"/>
              <w:numPr>
                <w:ilvl w:val="0"/>
                <w:numId w:val="3"/>
              </w:numPr>
              <w:suppressAutoHyphens/>
              <w:autoSpaceDN w:val="0"/>
              <w:spacing w:line="247" w:lineRule="auto"/>
              <w:ind w:left="171" w:right="141" w:hanging="171"/>
              <w:rPr>
                <w:rFonts w:cs="Arial"/>
                <w:szCs w:val="24"/>
                <w:lang w:val="en-US" w:eastAsia="en-GB"/>
              </w:rPr>
            </w:pPr>
            <w:r w:rsidRPr="00697A5F">
              <w:rPr>
                <w:rFonts w:cs="Arial"/>
                <w:szCs w:val="24"/>
                <w:lang w:val="en-US" w:eastAsia="en-GB"/>
              </w:rPr>
              <w:t xml:space="preserve">Payment will only be released to the Council by the </w:t>
            </w:r>
            <w:r w:rsidR="00697A5F" w:rsidRPr="00697A5F">
              <w:rPr>
                <w:rFonts w:cs="Arial"/>
                <w:szCs w:val="24"/>
                <w:lang w:val="en-US" w:eastAsia="en-GB"/>
              </w:rPr>
              <w:t xml:space="preserve">funders once the proposal has been agreed. </w:t>
            </w:r>
          </w:p>
          <w:p w14:paraId="6FAEAAC9" w14:textId="4B7EA9BB" w:rsidR="00055002" w:rsidRDefault="00697A5F" w:rsidP="00D37957">
            <w:pPr>
              <w:pStyle w:val="ListParagraph"/>
              <w:numPr>
                <w:ilvl w:val="0"/>
                <w:numId w:val="3"/>
              </w:numPr>
              <w:suppressAutoHyphens/>
              <w:autoSpaceDN w:val="0"/>
              <w:spacing w:line="247" w:lineRule="auto"/>
              <w:ind w:left="171" w:right="141" w:hanging="171"/>
              <w:rPr>
                <w:rFonts w:cs="Arial"/>
                <w:szCs w:val="24"/>
                <w:lang w:val="en-US" w:eastAsia="en-GB"/>
              </w:rPr>
            </w:pPr>
            <w:r w:rsidRPr="00831F94">
              <w:rPr>
                <w:rFonts w:cs="Arial"/>
                <w:szCs w:val="24"/>
                <w:lang w:val="en-US" w:eastAsia="en-GB"/>
              </w:rPr>
              <w:t xml:space="preserve">Each </w:t>
            </w:r>
            <w:r w:rsidR="00D21BDC" w:rsidRPr="00831F94">
              <w:rPr>
                <w:rFonts w:cs="Arial"/>
                <w:szCs w:val="24"/>
                <w:lang w:val="en-US" w:eastAsia="en-GB"/>
              </w:rPr>
              <w:t xml:space="preserve">project </w:t>
            </w:r>
            <w:r w:rsidR="00831F94" w:rsidRPr="00831F94">
              <w:rPr>
                <w:rFonts w:cs="Arial"/>
                <w:szCs w:val="24"/>
                <w:lang w:val="en-US" w:eastAsia="en-GB"/>
              </w:rPr>
              <w:t xml:space="preserve">and proposal </w:t>
            </w:r>
            <w:r w:rsidR="00D21BDC" w:rsidRPr="00831F94">
              <w:rPr>
                <w:rFonts w:cs="Arial"/>
                <w:szCs w:val="24"/>
                <w:lang w:val="en-US" w:eastAsia="en-GB"/>
              </w:rPr>
              <w:t xml:space="preserve">will have its own risk </w:t>
            </w:r>
            <w:r w:rsidR="00831F94" w:rsidRPr="00831F94">
              <w:rPr>
                <w:rFonts w:cs="Arial"/>
                <w:szCs w:val="24"/>
                <w:lang w:val="en-US" w:eastAsia="en-GB"/>
              </w:rPr>
              <w:t xml:space="preserve">register and feed into the strategic group for approval.  </w:t>
            </w:r>
          </w:p>
          <w:p w14:paraId="19CD10DE" w14:textId="40E1FE04" w:rsidR="00CD23C6" w:rsidRPr="00F7378B" w:rsidRDefault="005F0A1F" w:rsidP="00C60B9B">
            <w:pPr>
              <w:pStyle w:val="ListParagraph"/>
              <w:numPr>
                <w:ilvl w:val="0"/>
                <w:numId w:val="3"/>
              </w:numPr>
              <w:suppressAutoHyphens/>
              <w:autoSpaceDN w:val="0"/>
              <w:spacing w:line="247" w:lineRule="auto"/>
              <w:ind w:left="171" w:right="141" w:hanging="171"/>
              <w:rPr>
                <w:rFonts w:cs="Arial"/>
                <w:szCs w:val="24"/>
                <w:lang w:val="en-US" w:eastAsia="en-GB"/>
              </w:rPr>
            </w:pPr>
            <w:r w:rsidRPr="00F7378B">
              <w:rPr>
                <w:rFonts w:cs="Arial"/>
                <w:szCs w:val="24"/>
                <w:lang w:val="en-US" w:eastAsia="en-GB"/>
              </w:rPr>
              <w:t>A</w:t>
            </w:r>
            <w:r w:rsidR="00EA5C83" w:rsidRPr="00F7378B">
              <w:rPr>
                <w:rFonts w:cs="Arial"/>
                <w:szCs w:val="24"/>
                <w:lang w:val="en-US" w:eastAsia="en-GB"/>
              </w:rPr>
              <w:t xml:space="preserve">rrangements </w:t>
            </w:r>
            <w:r w:rsidRPr="00F7378B">
              <w:rPr>
                <w:rFonts w:cs="Arial"/>
                <w:szCs w:val="24"/>
                <w:lang w:val="en-US" w:eastAsia="en-GB"/>
              </w:rPr>
              <w:t xml:space="preserve">are in place </w:t>
            </w:r>
            <w:r w:rsidR="00F7378B" w:rsidRPr="00F7378B">
              <w:rPr>
                <w:rFonts w:cs="Arial"/>
                <w:szCs w:val="24"/>
                <w:lang w:val="en-US" w:eastAsia="en-GB"/>
              </w:rPr>
              <w:t xml:space="preserve">for </w:t>
            </w:r>
            <w:r w:rsidR="00EA5C83" w:rsidRPr="00F7378B">
              <w:rPr>
                <w:rFonts w:cs="Arial"/>
                <w:szCs w:val="24"/>
                <w:lang w:val="en-US" w:eastAsia="en-GB"/>
              </w:rPr>
              <w:t>termination</w:t>
            </w:r>
            <w:r w:rsidR="00FD7242" w:rsidRPr="00F7378B">
              <w:rPr>
                <w:rFonts w:cs="Arial"/>
                <w:szCs w:val="24"/>
                <w:lang w:val="en-US" w:eastAsia="en-GB"/>
              </w:rPr>
              <w:t xml:space="preserve">/exit </w:t>
            </w:r>
            <w:r w:rsidR="00EA5C83" w:rsidRPr="00F7378B">
              <w:rPr>
                <w:rFonts w:cs="Arial"/>
                <w:szCs w:val="24"/>
                <w:lang w:val="en-US" w:eastAsia="en-GB"/>
              </w:rPr>
              <w:t>of the contract</w:t>
            </w:r>
            <w:r w:rsidR="00C60B9B" w:rsidRPr="00F7378B">
              <w:rPr>
                <w:rFonts w:cs="Arial"/>
                <w:szCs w:val="24"/>
                <w:lang w:val="en-US" w:eastAsia="en-GB"/>
              </w:rPr>
              <w:t xml:space="preserve">, </w:t>
            </w:r>
            <w:r w:rsidR="00F51BE8" w:rsidRPr="00F7378B">
              <w:rPr>
                <w:rFonts w:cs="Arial"/>
                <w:szCs w:val="24"/>
                <w:lang w:val="en-US" w:eastAsia="en-GB"/>
              </w:rPr>
              <w:t xml:space="preserve">for arbitration on the contract </w:t>
            </w:r>
            <w:r w:rsidR="00C60B9B" w:rsidRPr="00F7378B">
              <w:rPr>
                <w:rFonts w:cs="Arial"/>
                <w:szCs w:val="24"/>
                <w:lang w:val="en-US" w:eastAsia="en-GB"/>
              </w:rPr>
              <w:t xml:space="preserve">and </w:t>
            </w:r>
            <w:r w:rsidR="00CD23C6" w:rsidRPr="00F7378B">
              <w:rPr>
                <w:rFonts w:cs="Arial"/>
                <w:szCs w:val="24"/>
                <w:lang w:val="en-US" w:eastAsia="en-GB"/>
              </w:rPr>
              <w:t>for provider financial failure</w:t>
            </w:r>
            <w:r w:rsidR="00F7378B" w:rsidRPr="00F7378B">
              <w:rPr>
                <w:rFonts w:cs="Arial"/>
                <w:szCs w:val="24"/>
                <w:lang w:val="en-US" w:eastAsia="en-GB"/>
              </w:rPr>
              <w:t xml:space="preserve"> should the need for this arise</w:t>
            </w:r>
          </w:p>
          <w:p w14:paraId="07DCD158" w14:textId="77777777" w:rsidR="00055002" w:rsidRDefault="00055002" w:rsidP="00055002">
            <w:pPr>
              <w:pStyle w:val="ListParagraph"/>
              <w:suppressAutoHyphens/>
              <w:autoSpaceDN w:val="0"/>
              <w:spacing w:line="247" w:lineRule="auto"/>
              <w:ind w:left="171" w:right="141"/>
              <w:rPr>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1BD16511" w14:textId="77777777" w:rsidR="00055002" w:rsidRPr="00C70F19" w:rsidRDefault="00055002" w:rsidP="00057B10">
            <w:pPr>
              <w:spacing w:line="247" w:lineRule="auto"/>
              <w:ind w:left="171" w:right="141"/>
              <w:jc w:val="center"/>
              <w:rPr>
                <w:rFonts w:cs="Arial"/>
                <w:b/>
                <w:bCs/>
                <w:szCs w:val="24"/>
                <w:lang w:val="en-US" w:eastAsia="en-GB"/>
              </w:rPr>
            </w:pPr>
            <w:r w:rsidRPr="00C70F19">
              <w:rPr>
                <w:rFonts w:cs="Arial"/>
                <w:b/>
                <w:bCs/>
                <w:szCs w:val="24"/>
                <w:lang w:val="en-US" w:eastAsia="en-GB"/>
              </w:rPr>
              <w:t>Green</w:t>
            </w:r>
          </w:p>
        </w:tc>
      </w:tr>
    </w:tbl>
    <w:p w14:paraId="1457AC63" w14:textId="027D1029" w:rsidR="008D600B" w:rsidRDefault="008D600B"/>
    <w:p w14:paraId="121C6815" w14:textId="77777777" w:rsidR="008D600B" w:rsidRDefault="008D600B"/>
    <w:tbl>
      <w:tblPr>
        <w:tblW w:w="9067"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4099"/>
        <w:gridCol w:w="1701"/>
      </w:tblGrid>
      <w:tr w:rsidR="00AD23F6" w14:paraId="02FD192F" w14:textId="77777777" w:rsidTr="00012F1A">
        <w:trPr>
          <w:trHeight w:val="576"/>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28F2E" w14:textId="44AFA137" w:rsidR="00AD23F6" w:rsidRPr="00D62F02" w:rsidRDefault="00AD23F6" w:rsidP="00AD23F6">
            <w:pPr>
              <w:spacing w:line="247" w:lineRule="auto"/>
              <w:ind w:right="141"/>
              <w:rPr>
                <w:rFonts w:cs="Arial"/>
                <w:szCs w:val="24"/>
                <w:lang w:val="en-US" w:eastAsia="en-GB"/>
              </w:rPr>
            </w:pPr>
            <w:r>
              <w:rPr>
                <w:rFonts w:cs="Arial"/>
                <w:b/>
                <w:bCs/>
                <w:szCs w:val="24"/>
                <w:lang w:val="en-US" w:eastAsia="en-GB"/>
              </w:rPr>
              <w:t>Risk Description</w:t>
            </w:r>
          </w:p>
        </w:tc>
        <w:tc>
          <w:tcPr>
            <w:tcW w:w="4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FBBCCA" w14:textId="20C88443" w:rsidR="00AD23F6" w:rsidRDefault="00AD23F6" w:rsidP="00AD23F6">
            <w:pPr>
              <w:pStyle w:val="ListParagraph"/>
              <w:suppressAutoHyphens/>
              <w:autoSpaceDN w:val="0"/>
              <w:spacing w:line="247" w:lineRule="auto"/>
              <w:ind w:left="171" w:right="141"/>
              <w:rPr>
                <w:rFonts w:cs="Arial"/>
                <w:szCs w:val="24"/>
                <w:lang w:val="en-US" w:eastAsia="en-GB"/>
              </w:rPr>
            </w:pPr>
            <w:r>
              <w:rPr>
                <w:rFonts w:cs="Arial"/>
                <w:b/>
                <w:bCs/>
                <w:szCs w:val="24"/>
                <w:lang w:val="en-US" w:eastAsia="en-GB"/>
              </w:rPr>
              <w:t>Mitigations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6C7F" w14:textId="4786CA8B" w:rsidR="00AD23F6" w:rsidRPr="00C70F19" w:rsidRDefault="00AD23F6" w:rsidP="00AD23F6">
            <w:pPr>
              <w:spacing w:line="247" w:lineRule="auto"/>
              <w:ind w:right="141"/>
              <w:jc w:val="center"/>
              <w:rPr>
                <w:rFonts w:cs="Arial"/>
                <w:b/>
                <w:bCs/>
                <w:szCs w:val="24"/>
                <w:lang w:val="en-US" w:eastAsia="en-GB"/>
              </w:rPr>
            </w:pPr>
            <w:r>
              <w:rPr>
                <w:rFonts w:cs="Arial"/>
                <w:b/>
                <w:bCs/>
                <w:szCs w:val="24"/>
                <w:lang w:val="en-US" w:eastAsia="en-GB"/>
              </w:rPr>
              <w:t>RAG Status</w:t>
            </w:r>
          </w:p>
        </w:tc>
      </w:tr>
      <w:tr w:rsidR="00055002" w14:paraId="6274505A" w14:textId="77777777" w:rsidTr="00012F1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58D22C5A" w:rsidR="00055002" w:rsidRDefault="00055002" w:rsidP="00055002">
            <w:pPr>
              <w:spacing w:line="247" w:lineRule="auto"/>
              <w:ind w:right="141"/>
              <w:rPr>
                <w:rFonts w:cs="Arial"/>
                <w:szCs w:val="24"/>
                <w:lang w:val="en-US" w:eastAsia="en-GB"/>
              </w:rPr>
            </w:pPr>
            <w:r w:rsidRPr="00D62F02">
              <w:rPr>
                <w:rFonts w:cs="Arial"/>
                <w:szCs w:val="24"/>
                <w:lang w:val="en-US" w:eastAsia="en-GB"/>
              </w:rPr>
              <w:t>Challenge from other Providers regarding direct award</w:t>
            </w:r>
          </w:p>
        </w:tc>
        <w:tc>
          <w:tcPr>
            <w:tcW w:w="4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04A68" w14:textId="77777777" w:rsidR="00055002" w:rsidRDefault="00055002"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YHF is independent and does not deliver services directly, thus eliminating a conflict of interest of provider/commissioner </w:t>
            </w:r>
          </w:p>
          <w:p w14:paraId="2DB339B8" w14:textId="77777777" w:rsidR="00055002" w:rsidRDefault="00055002"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lastRenderedPageBreak/>
              <w:t>YHF will advertise and welcome interest from potential providers</w:t>
            </w:r>
          </w:p>
          <w:p w14:paraId="4FBA1BB0" w14:textId="2FAE9B58" w:rsidR="00055002" w:rsidRDefault="00055002"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YHF sits on a board with two other voluntary sector consortiums </w:t>
            </w:r>
            <w:r w:rsidRPr="006E7EBB">
              <w:rPr>
                <w:rFonts w:cs="Arial"/>
                <w:szCs w:val="24"/>
                <w:lang w:val="en-US" w:eastAsia="en-GB"/>
              </w:rPr>
              <w:t>(</w:t>
            </w:r>
            <w:r w:rsidR="006E7EBB" w:rsidRPr="006E7EBB">
              <w:rPr>
                <w:rFonts w:cs="Arial"/>
              </w:rPr>
              <w:t>Harrow Community Action and Voluntary Action Harrow Co-operative</w:t>
            </w:r>
            <w:r w:rsidRPr="006E7EBB">
              <w:rPr>
                <w:rFonts w:cs="Arial"/>
                <w:szCs w:val="24"/>
                <w:lang w:val="en-US" w:eastAsia="en-GB"/>
              </w:rPr>
              <w:t>)</w:t>
            </w:r>
            <w:r>
              <w:rPr>
                <w:rFonts w:cs="Arial"/>
                <w:szCs w:val="24"/>
                <w:lang w:val="en-US" w:eastAsia="en-GB"/>
              </w:rPr>
              <w:t xml:space="preserve"> both have been communicated with regarding this opportunity.</w:t>
            </w:r>
          </w:p>
          <w:p w14:paraId="79FDFF6E" w14:textId="77777777" w:rsidR="00055002" w:rsidRPr="00EA5C83" w:rsidRDefault="00055002" w:rsidP="00EA5C83">
            <w:pPr>
              <w:suppressAutoHyphens/>
              <w:autoSpaceDN w:val="0"/>
              <w:spacing w:line="247" w:lineRule="auto"/>
              <w:ind w:right="141"/>
              <w:rPr>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03D15A6" w14:textId="56273F75" w:rsidR="00055002" w:rsidRPr="00C70F19" w:rsidRDefault="00055002" w:rsidP="00057B10">
            <w:pPr>
              <w:spacing w:line="247" w:lineRule="auto"/>
              <w:ind w:right="141"/>
              <w:jc w:val="center"/>
              <w:rPr>
                <w:rFonts w:cs="Arial"/>
                <w:b/>
                <w:bCs/>
                <w:szCs w:val="24"/>
                <w:lang w:val="en-US" w:eastAsia="en-GB"/>
              </w:rPr>
            </w:pPr>
            <w:r w:rsidRPr="00C70F19">
              <w:rPr>
                <w:rFonts w:cs="Arial"/>
                <w:b/>
                <w:bCs/>
                <w:szCs w:val="24"/>
                <w:lang w:val="en-US" w:eastAsia="en-GB"/>
              </w:rPr>
              <w:lastRenderedPageBreak/>
              <w:t>Green</w:t>
            </w:r>
          </w:p>
        </w:tc>
      </w:tr>
      <w:tr w:rsidR="002163EC" w14:paraId="53649742" w14:textId="77777777" w:rsidTr="002A2998">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D5B3A" w14:textId="28081E97" w:rsidR="002163EC" w:rsidRDefault="002163EC" w:rsidP="002163EC">
            <w:pPr>
              <w:spacing w:line="247" w:lineRule="auto"/>
              <w:ind w:right="141"/>
              <w:rPr>
                <w:szCs w:val="24"/>
              </w:rPr>
            </w:pPr>
            <w:r w:rsidRPr="00AB00BA">
              <w:rPr>
                <w:szCs w:val="24"/>
              </w:rPr>
              <w:t>Alternative and potentially better organisations/partners to YHF and offering the same advantages have not been  considered</w:t>
            </w:r>
          </w:p>
        </w:tc>
        <w:tc>
          <w:tcPr>
            <w:tcW w:w="4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1871B" w14:textId="512C9495" w:rsidR="002163EC" w:rsidRPr="002A2998" w:rsidRDefault="002E4AEE" w:rsidP="002A2998">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There is no other provider </w:t>
            </w:r>
            <w:r w:rsidR="00242D8A">
              <w:rPr>
                <w:rFonts w:cs="Arial"/>
                <w:szCs w:val="24"/>
                <w:lang w:val="en-US" w:eastAsia="en-GB"/>
              </w:rPr>
              <w:t xml:space="preserve">available </w:t>
            </w:r>
            <w:r>
              <w:rPr>
                <w:rFonts w:cs="Arial"/>
                <w:szCs w:val="24"/>
                <w:lang w:val="en-US" w:eastAsia="en-GB"/>
              </w:rPr>
              <w:t xml:space="preserve">in the market </w:t>
            </w:r>
            <w:r w:rsidR="00242D8A">
              <w:rPr>
                <w:rFonts w:cs="Arial"/>
                <w:szCs w:val="24"/>
                <w:lang w:val="en-US" w:eastAsia="en-GB"/>
              </w:rPr>
              <w:t xml:space="preserve">that acts as an impartial service </w:t>
            </w:r>
            <w:r w:rsidR="002A2998">
              <w:rPr>
                <w:rFonts w:cs="Arial"/>
                <w:szCs w:val="24"/>
                <w:lang w:val="en-US" w:eastAsia="en-GB"/>
              </w:rPr>
              <w:t>which YHF offers</w:t>
            </w:r>
          </w:p>
        </w:tc>
        <w:tc>
          <w:tcPr>
            <w:tcW w:w="170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E08D1C8" w14:textId="194ABF66" w:rsidR="002163EC" w:rsidRPr="002A2998" w:rsidRDefault="002A2998" w:rsidP="002A2998">
            <w:pPr>
              <w:spacing w:line="247" w:lineRule="auto"/>
              <w:ind w:right="141"/>
              <w:jc w:val="center"/>
              <w:rPr>
                <w:rFonts w:cs="Arial"/>
                <w:b/>
                <w:bCs/>
                <w:szCs w:val="24"/>
                <w:lang w:val="en-US" w:eastAsia="en-GB"/>
              </w:rPr>
            </w:pPr>
            <w:r w:rsidRPr="002A2998">
              <w:rPr>
                <w:rFonts w:cs="Arial"/>
                <w:b/>
                <w:bCs/>
                <w:szCs w:val="24"/>
                <w:lang w:val="en-US" w:eastAsia="en-GB"/>
              </w:rPr>
              <w:t>Green</w:t>
            </w:r>
          </w:p>
        </w:tc>
      </w:tr>
      <w:tr w:rsidR="00AD23F6" w14:paraId="31348E32" w14:textId="77777777" w:rsidTr="00012F1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47B74" w14:textId="28820294" w:rsidR="00AD23F6" w:rsidRDefault="00D856F9" w:rsidP="00AD23F6">
            <w:pPr>
              <w:spacing w:line="247" w:lineRule="auto"/>
              <w:ind w:right="141"/>
              <w:rPr>
                <w:szCs w:val="24"/>
              </w:rPr>
            </w:pPr>
            <w:r>
              <w:rPr>
                <w:szCs w:val="24"/>
              </w:rPr>
              <w:t xml:space="preserve">Appropriate governance has not been met as </w:t>
            </w:r>
            <w:r w:rsidR="00AD23F6">
              <w:rPr>
                <w:szCs w:val="24"/>
              </w:rPr>
              <w:t>Contract Procurement (CPR) Rules have not been followed</w:t>
            </w:r>
            <w:r w:rsidR="00EE3305">
              <w:rPr>
                <w:szCs w:val="24"/>
              </w:rPr>
              <w:t xml:space="preserve"> as this is a Direct Award.</w:t>
            </w:r>
            <w:r w:rsidR="00AD23F6">
              <w:rPr>
                <w:szCs w:val="24"/>
              </w:rPr>
              <w:t xml:space="preserve"> </w:t>
            </w:r>
          </w:p>
        </w:tc>
        <w:tc>
          <w:tcPr>
            <w:tcW w:w="4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1DAEB" w14:textId="78CABC69" w:rsidR="0076722D" w:rsidRPr="00EA7657" w:rsidRDefault="00EE3305" w:rsidP="005B0620">
            <w:pPr>
              <w:pStyle w:val="ListParagraph"/>
              <w:numPr>
                <w:ilvl w:val="0"/>
                <w:numId w:val="3"/>
              </w:numPr>
              <w:suppressAutoHyphens/>
              <w:autoSpaceDN w:val="0"/>
              <w:spacing w:line="247" w:lineRule="auto"/>
              <w:ind w:left="171" w:right="141" w:hanging="171"/>
            </w:pPr>
            <w:r w:rsidRPr="00EA7657">
              <w:rPr>
                <w:rFonts w:cs="Arial"/>
                <w:szCs w:val="24"/>
                <w:lang w:val="en-US" w:eastAsia="en-GB"/>
              </w:rPr>
              <w:t xml:space="preserve">The agreement of recommendation 2 </w:t>
            </w:r>
            <w:r w:rsidR="002A6B81" w:rsidRPr="00EA7657">
              <w:rPr>
                <w:rFonts w:cs="Arial"/>
                <w:szCs w:val="24"/>
                <w:lang w:val="en-US" w:eastAsia="en-GB"/>
              </w:rPr>
              <w:t xml:space="preserve">contained in </w:t>
            </w:r>
            <w:r w:rsidRPr="00EA7657">
              <w:rPr>
                <w:rFonts w:cs="Arial"/>
                <w:szCs w:val="24"/>
                <w:lang w:val="en-US" w:eastAsia="en-GB"/>
              </w:rPr>
              <w:t xml:space="preserve">this </w:t>
            </w:r>
            <w:r w:rsidR="002A6B81" w:rsidRPr="00EA7657">
              <w:rPr>
                <w:rFonts w:cs="Arial"/>
                <w:szCs w:val="24"/>
                <w:lang w:val="en-US" w:eastAsia="en-GB"/>
              </w:rPr>
              <w:t xml:space="preserve">cabinet </w:t>
            </w:r>
            <w:r w:rsidRPr="00EA7657">
              <w:rPr>
                <w:rFonts w:cs="Arial"/>
                <w:szCs w:val="24"/>
                <w:lang w:val="en-US" w:eastAsia="en-GB"/>
              </w:rPr>
              <w:t xml:space="preserve">report </w:t>
            </w:r>
            <w:r w:rsidR="0076722D" w:rsidRPr="00EA7657">
              <w:t xml:space="preserve">(waiving the requirement to undertake a tender process the commissioning of this service) enables </w:t>
            </w:r>
            <w:r w:rsidR="005B0620" w:rsidRPr="00EA7657">
              <w:t xml:space="preserve">compliance </w:t>
            </w:r>
            <w:r w:rsidR="0076722D" w:rsidRPr="00EA7657">
              <w:t xml:space="preserve">with the Council’s </w:t>
            </w:r>
            <w:r w:rsidR="0076722D" w:rsidRPr="00EA7657">
              <w:rPr>
                <w:szCs w:val="24"/>
              </w:rPr>
              <w:t>Contract Procurement (CPR) Rules</w:t>
            </w:r>
            <w:r w:rsidR="005B0620" w:rsidRPr="00EA7657">
              <w:rPr>
                <w:szCs w:val="24"/>
              </w:rPr>
              <w:t xml:space="preserve"> </w:t>
            </w:r>
          </w:p>
          <w:p w14:paraId="02D0DDCC" w14:textId="18E12FDB" w:rsidR="0076722D" w:rsidRPr="0076722D" w:rsidRDefault="0076722D" w:rsidP="0076722D">
            <w:pPr>
              <w:suppressAutoHyphens/>
              <w:autoSpaceDN w:val="0"/>
              <w:spacing w:line="247" w:lineRule="auto"/>
              <w:ind w:right="141"/>
              <w:rPr>
                <w:rFonts w:cs="Arial"/>
                <w:szCs w:val="24"/>
                <w:lang w:val="en-US"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1D9879E" w14:textId="228C4BFD" w:rsidR="00AD23F6" w:rsidRDefault="00AD23F6" w:rsidP="00AD23F6">
            <w:pPr>
              <w:spacing w:line="247" w:lineRule="auto"/>
              <w:ind w:right="141"/>
              <w:jc w:val="center"/>
              <w:rPr>
                <w:rFonts w:cs="Arial"/>
                <w:szCs w:val="24"/>
                <w:lang w:val="en-US" w:eastAsia="en-GB"/>
              </w:rPr>
            </w:pPr>
            <w:r w:rsidRPr="00C70F19">
              <w:rPr>
                <w:rFonts w:cs="Arial"/>
                <w:b/>
                <w:bCs/>
                <w:szCs w:val="24"/>
                <w:lang w:val="en-US" w:eastAsia="en-GB"/>
              </w:rPr>
              <w:t xml:space="preserve">Green </w:t>
            </w:r>
          </w:p>
        </w:tc>
      </w:tr>
      <w:tr w:rsidR="00010EF1" w14:paraId="20F16F8D" w14:textId="77777777" w:rsidTr="00DF7A6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07CE1" w14:textId="6649945E" w:rsidR="00010EF1" w:rsidRPr="00AB00BA" w:rsidRDefault="003A7654" w:rsidP="00055002">
            <w:pPr>
              <w:spacing w:line="247" w:lineRule="auto"/>
              <w:ind w:right="141"/>
              <w:rPr>
                <w:szCs w:val="24"/>
              </w:rPr>
            </w:pPr>
            <w:r>
              <w:rPr>
                <w:szCs w:val="24"/>
              </w:rPr>
              <w:t xml:space="preserve">The contract is not deliverable within </w:t>
            </w:r>
            <w:r w:rsidR="004915C6">
              <w:rPr>
                <w:szCs w:val="24"/>
              </w:rPr>
              <w:t xml:space="preserve">the available </w:t>
            </w:r>
            <w:r w:rsidR="005806B7">
              <w:rPr>
                <w:szCs w:val="24"/>
              </w:rPr>
              <w:t xml:space="preserve">budget </w:t>
            </w:r>
            <w:r w:rsidR="00AF4F1D">
              <w:rPr>
                <w:szCs w:val="24"/>
              </w:rPr>
              <w:t xml:space="preserve">envelop </w:t>
            </w:r>
            <w:r w:rsidR="00555D82">
              <w:rPr>
                <w:szCs w:val="24"/>
              </w:rPr>
              <w:t xml:space="preserve">of 10% of the grant </w:t>
            </w:r>
          </w:p>
        </w:tc>
        <w:tc>
          <w:tcPr>
            <w:tcW w:w="4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2611D" w14:textId="3C5FB3A5" w:rsidR="00010EF1" w:rsidRDefault="004475E3"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The management costs awarded to YHA </w:t>
            </w:r>
            <w:r w:rsidR="00237C4F">
              <w:rPr>
                <w:rFonts w:cs="Arial"/>
                <w:szCs w:val="24"/>
                <w:lang w:val="en-US" w:eastAsia="en-GB"/>
              </w:rPr>
              <w:t xml:space="preserve">are capped at 10% </w:t>
            </w:r>
            <w:r w:rsidR="00BE0E17">
              <w:rPr>
                <w:rFonts w:cs="Arial"/>
                <w:szCs w:val="24"/>
                <w:lang w:val="en-US" w:eastAsia="en-GB"/>
              </w:rPr>
              <w:t>and we will not exceed the contract value of £213,</w:t>
            </w:r>
            <w:r w:rsidR="005C768F">
              <w:rPr>
                <w:rFonts w:cs="Arial"/>
                <w:szCs w:val="24"/>
                <w:lang w:val="en-US" w:eastAsia="en-GB"/>
              </w:rPr>
              <w:t>477</w:t>
            </w:r>
            <w:r w:rsidR="00BE0E17">
              <w:rPr>
                <w:rFonts w:cs="Arial"/>
                <w:szCs w:val="24"/>
                <w:lang w:val="en-US" w:eastAsia="en-GB"/>
              </w:rPr>
              <w:t xml:space="preserve"> over the 3-Year period</w:t>
            </w:r>
          </w:p>
          <w:p w14:paraId="47B1E8C8" w14:textId="5A7C9BBC" w:rsidR="00C70F19" w:rsidRDefault="00F3619C"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People Services will monitor the total spend throughout the life </w:t>
            </w:r>
            <w:r w:rsidR="006642DE">
              <w:rPr>
                <w:rFonts w:cs="Arial"/>
                <w:szCs w:val="24"/>
                <w:lang w:val="en-US" w:eastAsia="en-GB"/>
              </w:rPr>
              <w:t xml:space="preserve">of the contract </w:t>
            </w:r>
          </w:p>
          <w:p w14:paraId="09F9562E" w14:textId="7E3CE4DD" w:rsidR="00C70F19" w:rsidRDefault="006642DE"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We will work with provider to ensure all costs are contained within the financial envelope </w:t>
            </w:r>
          </w:p>
          <w:p w14:paraId="78236CA5" w14:textId="082D06F4" w:rsidR="00C70F19" w:rsidRDefault="00237C4F" w:rsidP="00D37957">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If the financial e</w:t>
            </w:r>
            <w:r w:rsidR="00373665">
              <w:rPr>
                <w:rFonts w:cs="Arial"/>
                <w:szCs w:val="24"/>
                <w:lang w:val="en-US" w:eastAsia="en-GB"/>
              </w:rPr>
              <w:t>n</w:t>
            </w:r>
            <w:r>
              <w:rPr>
                <w:rFonts w:cs="Arial"/>
                <w:szCs w:val="24"/>
                <w:lang w:val="en-US" w:eastAsia="en-GB"/>
              </w:rPr>
              <w:t>velop</w:t>
            </w:r>
            <w:r w:rsidR="00373665">
              <w:rPr>
                <w:rFonts w:cs="Arial"/>
                <w:szCs w:val="24"/>
                <w:lang w:val="en-US" w:eastAsia="en-GB"/>
              </w:rPr>
              <w:t>e</w:t>
            </w:r>
            <w:r>
              <w:rPr>
                <w:rFonts w:cs="Arial"/>
                <w:szCs w:val="24"/>
                <w:lang w:val="en-US" w:eastAsia="en-GB"/>
              </w:rPr>
              <w:t xml:space="preserve"> is exceeded</w:t>
            </w:r>
            <w:r w:rsidR="00373665">
              <w:rPr>
                <w:rFonts w:cs="Arial"/>
                <w:szCs w:val="24"/>
                <w:lang w:val="en-US" w:eastAsia="en-GB"/>
              </w:rPr>
              <w:t xml:space="preserve"> the Council </w:t>
            </w:r>
            <w:r>
              <w:rPr>
                <w:rFonts w:cs="Arial"/>
                <w:szCs w:val="24"/>
                <w:lang w:val="en-US" w:eastAsia="en-GB"/>
              </w:rPr>
              <w:t>will not pay</w:t>
            </w:r>
            <w:r w:rsidR="00373665">
              <w:rPr>
                <w:rFonts w:cs="Arial"/>
                <w:szCs w:val="24"/>
                <w:lang w:val="en-US" w:eastAsia="en-GB"/>
              </w:rPr>
              <w:t xml:space="preserve"> </w:t>
            </w:r>
            <w:r w:rsidR="00AB69CF">
              <w:rPr>
                <w:rFonts w:cs="Arial"/>
                <w:szCs w:val="24"/>
                <w:lang w:val="en-US" w:eastAsia="en-GB"/>
              </w:rPr>
              <w:t xml:space="preserve">and is not required to pay </w:t>
            </w:r>
            <w:r w:rsidR="00373665">
              <w:rPr>
                <w:rFonts w:cs="Arial"/>
                <w:szCs w:val="24"/>
                <w:lang w:val="en-US" w:eastAsia="en-GB"/>
              </w:rPr>
              <w:t xml:space="preserve">any costs above this </w:t>
            </w:r>
          </w:p>
        </w:tc>
        <w:tc>
          <w:tcPr>
            <w:tcW w:w="170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20BFCE4" w14:textId="4A6D06F2" w:rsidR="00010EF1" w:rsidRPr="00DF7A65" w:rsidRDefault="00DF7A65" w:rsidP="00DF7A65">
            <w:pPr>
              <w:spacing w:line="247" w:lineRule="auto"/>
              <w:ind w:right="141"/>
              <w:jc w:val="center"/>
              <w:rPr>
                <w:rFonts w:cs="Arial"/>
                <w:b/>
                <w:bCs/>
                <w:szCs w:val="24"/>
                <w:lang w:val="en-US" w:eastAsia="en-GB"/>
              </w:rPr>
            </w:pPr>
            <w:r w:rsidRPr="00DF7A65">
              <w:rPr>
                <w:rFonts w:cs="Arial"/>
                <w:b/>
                <w:bCs/>
                <w:szCs w:val="24"/>
                <w:lang w:val="en-US" w:eastAsia="en-GB"/>
              </w:rPr>
              <w:t>Green</w:t>
            </w:r>
          </w:p>
        </w:tc>
      </w:tr>
      <w:tr w:rsidR="00AB00BA" w14:paraId="6DE0C7DC" w14:textId="77777777" w:rsidTr="003E684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FA308" w14:textId="6C811B7D" w:rsidR="00AB00BA" w:rsidRPr="00AB00BA" w:rsidRDefault="00AB00BA" w:rsidP="00055002">
            <w:pPr>
              <w:spacing w:line="247" w:lineRule="auto"/>
              <w:ind w:right="141"/>
              <w:rPr>
                <w:rFonts w:cs="Arial"/>
                <w:szCs w:val="24"/>
                <w:lang w:val="en-US" w:eastAsia="en-GB"/>
              </w:rPr>
            </w:pPr>
            <w:r w:rsidRPr="00AB00BA">
              <w:rPr>
                <w:szCs w:val="24"/>
              </w:rPr>
              <w:t>Effective</w:t>
            </w:r>
            <w:r w:rsidR="00E66E3E">
              <w:rPr>
                <w:szCs w:val="24"/>
              </w:rPr>
              <w:t xml:space="preserve">, agreed </w:t>
            </w:r>
            <w:r w:rsidRPr="00AB00BA">
              <w:rPr>
                <w:szCs w:val="24"/>
              </w:rPr>
              <w:t xml:space="preserve">and adequate governance arrangements are not in place </w:t>
            </w:r>
            <w:r w:rsidR="00CD2CCF">
              <w:rPr>
                <w:szCs w:val="24"/>
              </w:rPr>
              <w:t xml:space="preserve">between the Council and </w:t>
            </w:r>
            <w:r w:rsidRPr="00AB00BA">
              <w:rPr>
                <w:szCs w:val="24"/>
              </w:rPr>
              <w:t>the YHF</w:t>
            </w:r>
          </w:p>
        </w:tc>
        <w:tc>
          <w:tcPr>
            <w:tcW w:w="4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F35F2" w14:textId="44E1B6AD" w:rsidR="00AB00BA" w:rsidRPr="003E684C" w:rsidRDefault="004C2A97" w:rsidP="003E684C">
            <w:pPr>
              <w:pStyle w:val="ListParagraph"/>
              <w:numPr>
                <w:ilvl w:val="0"/>
                <w:numId w:val="3"/>
              </w:numPr>
              <w:suppressAutoHyphens/>
              <w:autoSpaceDN w:val="0"/>
              <w:spacing w:line="247" w:lineRule="auto"/>
              <w:ind w:left="161" w:right="141" w:hanging="142"/>
              <w:rPr>
                <w:rFonts w:cs="Arial"/>
                <w:szCs w:val="24"/>
                <w:lang w:val="en-US" w:eastAsia="en-GB"/>
              </w:rPr>
            </w:pPr>
            <w:r>
              <w:rPr>
                <w:rFonts w:cs="Arial"/>
                <w:szCs w:val="24"/>
                <w:lang w:val="en-US" w:eastAsia="en-GB"/>
              </w:rPr>
              <w:t xml:space="preserve"> </w:t>
            </w:r>
            <w:r w:rsidR="00311853" w:rsidRPr="00DF4F9C">
              <w:t xml:space="preserve">The governance structure </w:t>
            </w:r>
            <w:r w:rsidR="00311853">
              <w:t xml:space="preserve">in place is proven over the last year and </w:t>
            </w:r>
            <w:r w:rsidR="00311853" w:rsidRPr="00DF4F9C">
              <w:t>consists of the HAF Strategic Group comprising Senior Officers within the Council. This group approve</w:t>
            </w:r>
            <w:r w:rsidR="00311853">
              <w:t>s</w:t>
            </w:r>
            <w:r w:rsidR="00311853" w:rsidRPr="00DF4F9C">
              <w:t xml:space="preserve"> the plan for each holiday period, the appointment of the VCS organisations to deliver activities, financial </w:t>
            </w:r>
            <w:r w:rsidR="00311853" w:rsidRPr="00DF4F9C">
              <w:lastRenderedPageBreak/>
              <w:t xml:space="preserve">expenditure, monitor performance against the YHF Plan and data returns to DfE.  This Group is </w:t>
            </w:r>
            <w:r w:rsidR="00311853">
              <w:t xml:space="preserve">led and </w:t>
            </w:r>
            <w:r w:rsidR="00311853" w:rsidRPr="00DF4F9C">
              <w:t xml:space="preserve">chaired by Director </w:t>
            </w:r>
            <w:r w:rsidR="00311853">
              <w:t xml:space="preserve">of </w:t>
            </w:r>
            <w:r w:rsidR="00311853" w:rsidRPr="00DF4F9C">
              <w:t>Children and Families Division.</w:t>
            </w:r>
          </w:p>
          <w:p w14:paraId="2229DC39" w14:textId="77777777" w:rsidR="003E684C" w:rsidRPr="003E684C" w:rsidRDefault="003E684C" w:rsidP="003E684C">
            <w:pPr>
              <w:pStyle w:val="ListParagraph"/>
              <w:suppressAutoHyphens/>
              <w:autoSpaceDN w:val="0"/>
              <w:spacing w:line="247" w:lineRule="auto"/>
              <w:ind w:left="161" w:right="141"/>
              <w:rPr>
                <w:rFonts w:cs="Arial"/>
                <w:szCs w:val="24"/>
                <w:lang w:val="en-US" w:eastAsia="en-GB"/>
              </w:rPr>
            </w:pPr>
          </w:p>
          <w:p w14:paraId="78BE36B4" w14:textId="4B0E8B55" w:rsidR="00AB00BA" w:rsidRPr="003E684C" w:rsidRDefault="003E684C" w:rsidP="003E684C">
            <w:pPr>
              <w:pStyle w:val="ListParagraph"/>
              <w:numPr>
                <w:ilvl w:val="0"/>
                <w:numId w:val="3"/>
              </w:numPr>
              <w:suppressAutoHyphens/>
              <w:autoSpaceDN w:val="0"/>
              <w:spacing w:line="247" w:lineRule="auto"/>
              <w:ind w:left="161" w:right="141" w:hanging="142"/>
              <w:rPr>
                <w:rFonts w:cs="Arial"/>
                <w:szCs w:val="24"/>
                <w:lang w:val="en-US" w:eastAsia="en-GB"/>
              </w:rPr>
            </w:pPr>
            <w:r w:rsidRPr="00506746">
              <w:t>The HAF Steering Group consists of stakeholders and operational managers. The role of this group is to implement the plan agreed by the Strategy Group and design the delivery of the programme including the selection of providers</w:t>
            </w:r>
          </w:p>
        </w:tc>
        <w:tc>
          <w:tcPr>
            <w:tcW w:w="170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4459E90" w14:textId="1BDCD025" w:rsidR="00AB00BA" w:rsidRPr="003E684C" w:rsidRDefault="003E684C" w:rsidP="003E684C">
            <w:pPr>
              <w:spacing w:line="247" w:lineRule="auto"/>
              <w:ind w:right="141"/>
              <w:jc w:val="center"/>
              <w:rPr>
                <w:rFonts w:cs="Arial"/>
                <w:b/>
                <w:bCs/>
                <w:szCs w:val="24"/>
                <w:lang w:val="en-US" w:eastAsia="en-GB"/>
              </w:rPr>
            </w:pPr>
            <w:r w:rsidRPr="003E684C">
              <w:rPr>
                <w:rFonts w:cs="Arial"/>
                <w:b/>
                <w:bCs/>
                <w:szCs w:val="24"/>
                <w:lang w:val="en-US" w:eastAsia="en-GB"/>
              </w:rPr>
              <w:lastRenderedPageBreak/>
              <w:t>Green</w:t>
            </w:r>
          </w:p>
        </w:tc>
      </w:tr>
      <w:tr w:rsidR="00AB00BA" w14:paraId="12B3FC83" w14:textId="77777777" w:rsidTr="00A63F5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00EF5" w14:textId="706CC3B6" w:rsidR="00AB00BA" w:rsidRPr="00EA5C83" w:rsidRDefault="00AB00BA" w:rsidP="00EA5C83">
            <w:pPr>
              <w:pStyle w:val="CommentText"/>
              <w:rPr>
                <w:sz w:val="24"/>
                <w:szCs w:val="24"/>
              </w:rPr>
            </w:pPr>
            <w:r w:rsidRPr="00AB00BA">
              <w:rPr>
                <w:sz w:val="24"/>
                <w:szCs w:val="24"/>
              </w:rPr>
              <w:t xml:space="preserve">Arrangements </w:t>
            </w:r>
            <w:r w:rsidR="00FF0C0B">
              <w:rPr>
                <w:sz w:val="24"/>
                <w:szCs w:val="24"/>
              </w:rPr>
              <w:t xml:space="preserve">for </w:t>
            </w:r>
            <w:r w:rsidRPr="00AB00BA">
              <w:rPr>
                <w:sz w:val="24"/>
                <w:szCs w:val="24"/>
              </w:rPr>
              <w:t xml:space="preserve">performance </w:t>
            </w:r>
            <w:r w:rsidR="00FF0C0B">
              <w:rPr>
                <w:sz w:val="24"/>
                <w:szCs w:val="24"/>
              </w:rPr>
              <w:t xml:space="preserve">measurement </w:t>
            </w:r>
            <w:r w:rsidR="0008058C">
              <w:rPr>
                <w:sz w:val="24"/>
                <w:szCs w:val="24"/>
              </w:rPr>
              <w:t xml:space="preserve">on the contract </w:t>
            </w:r>
            <w:r w:rsidRPr="00AB00BA">
              <w:rPr>
                <w:sz w:val="24"/>
                <w:szCs w:val="24"/>
              </w:rPr>
              <w:t>are not effective</w:t>
            </w:r>
            <w:r w:rsidR="004A3EE1">
              <w:rPr>
                <w:sz w:val="24"/>
                <w:szCs w:val="24"/>
              </w:rPr>
              <w:t xml:space="preserve"> or </w:t>
            </w:r>
            <w:r w:rsidRPr="00AB00BA">
              <w:rPr>
                <w:sz w:val="24"/>
                <w:szCs w:val="24"/>
              </w:rPr>
              <w:t>adequate</w:t>
            </w:r>
          </w:p>
        </w:tc>
        <w:tc>
          <w:tcPr>
            <w:tcW w:w="4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A8499" w14:textId="53EDCF47" w:rsidR="00AB00BA" w:rsidRPr="00A63F5E" w:rsidRDefault="00EB0AAB" w:rsidP="00A63F5E">
            <w:pPr>
              <w:pStyle w:val="ListParagraph"/>
              <w:numPr>
                <w:ilvl w:val="0"/>
                <w:numId w:val="3"/>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Performance will </w:t>
            </w:r>
            <w:r w:rsidR="00C80292">
              <w:rPr>
                <w:rFonts w:cs="Arial"/>
                <w:szCs w:val="24"/>
                <w:lang w:val="en-US" w:eastAsia="en-GB"/>
              </w:rPr>
              <w:t xml:space="preserve">be </w:t>
            </w:r>
            <w:r>
              <w:rPr>
                <w:rFonts w:cs="Arial"/>
                <w:szCs w:val="24"/>
                <w:lang w:val="en-US" w:eastAsia="en-GB"/>
              </w:rPr>
              <w:t xml:space="preserve">monitored and measured by the </w:t>
            </w:r>
            <w:r w:rsidR="00C80292">
              <w:rPr>
                <w:rFonts w:cs="Arial"/>
                <w:szCs w:val="24"/>
                <w:lang w:val="en-US" w:eastAsia="en-GB"/>
              </w:rPr>
              <w:t xml:space="preserve">both the </w:t>
            </w:r>
            <w:r>
              <w:rPr>
                <w:rFonts w:cs="Arial"/>
                <w:szCs w:val="24"/>
                <w:lang w:val="en-US" w:eastAsia="en-GB"/>
              </w:rPr>
              <w:t>Commissioning Manager and Governance Board in line with the requir</w:t>
            </w:r>
            <w:r w:rsidR="00C80292">
              <w:rPr>
                <w:rFonts w:cs="Arial"/>
                <w:szCs w:val="24"/>
                <w:lang w:val="en-US" w:eastAsia="en-GB"/>
              </w:rPr>
              <w:t>e</w:t>
            </w:r>
            <w:r>
              <w:rPr>
                <w:rFonts w:cs="Arial"/>
                <w:szCs w:val="24"/>
                <w:lang w:val="en-US" w:eastAsia="en-GB"/>
              </w:rPr>
              <w:t>ments of</w:t>
            </w:r>
            <w:r w:rsidR="00C80292">
              <w:rPr>
                <w:rFonts w:cs="Arial"/>
                <w:szCs w:val="24"/>
                <w:lang w:val="en-US" w:eastAsia="en-GB"/>
              </w:rPr>
              <w:t xml:space="preserve"> each grant’s terms and conditions </w:t>
            </w:r>
          </w:p>
        </w:tc>
        <w:tc>
          <w:tcPr>
            <w:tcW w:w="170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FEDD93D" w14:textId="7FEB4851" w:rsidR="00AB00BA" w:rsidRPr="00A63F5E" w:rsidRDefault="00A63F5E" w:rsidP="00A63F5E">
            <w:pPr>
              <w:spacing w:line="247" w:lineRule="auto"/>
              <w:ind w:right="141"/>
              <w:jc w:val="center"/>
              <w:rPr>
                <w:rFonts w:cs="Arial"/>
                <w:b/>
                <w:bCs/>
                <w:szCs w:val="24"/>
                <w:lang w:val="en-US" w:eastAsia="en-GB"/>
              </w:rPr>
            </w:pPr>
            <w:r w:rsidRPr="00A63F5E">
              <w:rPr>
                <w:rFonts w:cs="Arial"/>
                <w:b/>
                <w:bCs/>
                <w:szCs w:val="24"/>
                <w:lang w:val="en-US" w:eastAsia="en-GB"/>
              </w:rPr>
              <w:t>Green</w:t>
            </w:r>
          </w:p>
        </w:tc>
      </w:tr>
    </w:tbl>
    <w:bookmarkEnd w:id="2"/>
    <w:bookmarkEnd w:id="3"/>
    <w:p w14:paraId="0249BBDB" w14:textId="689AF98A" w:rsidR="002A3FEF" w:rsidRDefault="002A3FEF" w:rsidP="00C2120C">
      <w:pPr>
        <w:pStyle w:val="Heading3"/>
        <w:spacing w:before="480" w:after="240"/>
        <w:ind w:hanging="153"/>
      </w:pPr>
      <w:r>
        <w:t>Procurement Implications</w:t>
      </w:r>
    </w:p>
    <w:p w14:paraId="661749C9" w14:textId="5AFCDC36" w:rsidR="00F0537D" w:rsidRDefault="00F0537D" w:rsidP="00B40C9E">
      <w:pPr>
        <w:pStyle w:val="ListParagraph"/>
        <w:numPr>
          <w:ilvl w:val="0"/>
          <w:numId w:val="15"/>
        </w:numPr>
        <w:ind w:left="567" w:hanging="567"/>
      </w:pPr>
      <w:r>
        <w:t xml:space="preserve">The Council </w:t>
      </w:r>
      <w:r w:rsidR="00D51353">
        <w:t xml:space="preserve">is able </w:t>
      </w:r>
      <w:r>
        <w:t xml:space="preserve">make a compliant direct award to the Young Harrow Foundation (YHF) </w:t>
      </w:r>
      <w:r w:rsidR="00692907">
        <w:t xml:space="preserve">as the value of the contract will be below the threshold for services </w:t>
      </w:r>
      <w:r>
        <w:t>under the Public Contract</w:t>
      </w:r>
      <w:r w:rsidR="00111535">
        <w:t>s</w:t>
      </w:r>
      <w:r>
        <w:t xml:space="preserve"> Regulations (amended). </w:t>
      </w:r>
      <w:r w:rsidR="00D51353">
        <w:t xml:space="preserve">The Council’s </w:t>
      </w:r>
      <w:r>
        <w:t xml:space="preserve">Contract Procedure Rules </w:t>
      </w:r>
      <w:r w:rsidR="00D51353">
        <w:t xml:space="preserve">require </w:t>
      </w:r>
      <w:r w:rsidR="00692907">
        <w:t>a waiver to our own internal governance</w:t>
      </w:r>
      <w:r>
        <w:t xml:space="preserve">.  </w:t>
      </w:r>
    </w:p>
    <w:p w14:paraId="26769FE1" w14:textId="77777777" w:rsidR="00F0537D" w:rsidRDefault="00F0537D" w:rsidP="00F0537D">
      <w:pPr>
        <w:ind w:left="567" w:hanging="567"/>
      </w:pPr>
    </w:p>
    <w:p w14:paraId="42612FE7" w14:textId="6286F77B" w:rsidR="009C5607" w:rsidRDefault="00D51353" w:rsidP="00B40C9E">
      <w:pPr>
        <w:pStyle w:val="ListParagraph"/>
        <w:numPr>
          <w:ilvl w:val="0"/>
          <w:numId w:val="15"/>
        </w:numPr>
        <w:ind w:left="567" w:hanging="567"/>
      </w:pPr>
      <w:r>
        <w:t>The</w:t>
      </w:r>
      <w:r w:rsidR="00F0537D">
        <w:t xml:space="preserve"> Council </w:t>
      </w:r>
      <w:r>
        <w:t xml:space="preserve">will make </w:t>
      </w:r>
      <w:r w:rsidR="00F0537D">
        <w:t xml:space="preserve">a direct award to the YHF, 10% </w:t>
      </w:r>
      <w:r>
        <w:t xml:space="preserve">of </w:t>
      </w:r>
      <w:r w:rsidR="00F0537D">
        <w:t xml:space="preserve">the total contract value will be allocated to YHF and the remaining 90% (allocated through YHF sub-contracting) directly to the providers delivering the activities.  </w:t>
      </w:r>
    </w:p>
    <w:p w14:paraId="5592CD15" w14:textId="7BAEC8A0" w:rsidR="006E3275" w:rsidRDefault="00F0537D" w:rsidP="003371A8">
      <w:pPr>
        <w:pStyle w:val="ListParagraph"/>
        <w:numPr>
          <w:ilvl w:val="0"/>
          <w:numId w:val="15"/>
        </w:numPr>
        <w:spacing w:before="480" w:after="240"/>
        <w:ind w:left="567" w:hanging="567"/>
      </w:pPr>
      <w:r>
        <w:t xml:space="preserve">The YHF </w:t>
      </w:r>
      <w:proofErr w:type="gramStart"/>
      <w:r>
        <w:t xml:space="preserve">will </w:t>
      </w:r>
      <w:r w:rsidR="00EB40E3">
        <w:t xml:space="preserve"> </w:t>
      </w:r>
      <w:r>
        <w:t>be</w:t>
      </w:r>
      <w:proofErr w:type="gramEnd"/>
      <w:r>
        <w:t xml:space="preserve"> responsible for arranging service level agreements (SLA) with VCS organisations to deliver </w:t>
      </w:r>
      <w:r w:rsidR="00EB40E3">
        <w:t xml:space="preserve">specific services and </w:t>
      </w:r>
      <w:r>
        <w:t>programme</w:t>
      </w:r>
      <w:r w:rsidR="002F1CA6">
        <w:t>s</w:t>
      </w:r>
      <w:r w:rsidR="00EB40E3">
        <w:t xml:space="preserve"> in accordance with grant requirements. </w:t>
      </w:r>
      <w:r>
        <w:t xml:space="preserve">  YHF will comply with the conditions of the grant and will be monitored through the governance arrangements as set out within this report.</w:t>
      </w:r>
    </w:p>
    <w:p w14:paraId="156B68ED" w14:textId="587D2F77" w:rsidR="00A1211C" w:rsidRPr="004E7479" w:rsidRDefault="00333FAA" w:rsidP="004E7479">
      <w:pPr>
        <w:pStyle w:val="Heading3"/>
        <w:spacing w:before="480" w:after="240"/>
      </w:pPr>
      <w:r>
        <w:t>Legal Implications</w:t>
      </w:r>
    </w:p>
    <w:p w14:paraId="690B2752" w14:textId="3F2B3A64" w:rsidR="009F0073" w:rsidRDefault="009F0073" w:rsidP="009F0073">
      <w:pPr>
        <w:pStyle w:val="ListParagraph"/>
        <w:numPr>
          <w:ilvl w:val="0"/>
          <w:numId w:val="15"/>
        </w:numPr>
      </w:pPr>
      <w:r>
        <w:t xml:space="preserve">The total contract value is below the financial threshold of £213,477 requiring the contract to be competitively tendered under the Public Contracts Regulations. </w:t>
      </w:r>
      <w:r w:rsidR="0051296A">
        <w:t>Therefore,</w:t>
      </w:r>
      <w:r>
        <w:t xml:space="preserve"> the council can award the contracts directly to YHF under the </w:t>
      </w:r>
      <w:r w:rsidR="00932343">
        <w:t>Council’s</w:t>
      </w:r>
      <w:r>
        <w:t xml:space="preserve"> Contract Procedure Rules under waiver if it is in the council’s demonstrable best interests.</w:t>
      </w:r>
    </w:p>
    <w:p w14:paraId="6BF067E0" w14:textId="77777777" w:rsidR="009F0073" w:rsidRDefault="009F0073" w:rsidP="009F0073">
      <w:pPr>
        <w:pStyle w:val="ListParagraph"/>
        <w:ind w:left="360"/>
      </w:pPr>
    </w:p>
    <w:p w14:paraId="00CDFC95" w14:textId="77777777" w:rsidR="009F0073" w:rsidRDefault="009F0073" w:rsidP="009F0073">
      <w:pPr>
        <w:pStyle w:val="ListParagraph"/>
        <w:numPr>
          <w:ilvl w:val="0"/>
          <w:numId w:val="15"/>
        </w:numPr>
      </w:pPr>
      <w:r>
        <w:lastRenderedPageBreak/>
        <w:t>Table 1 of the Authorisation and Acceptance Thresholds of the Council’s Contract Procedure Rules (CPRs) state that for  all key decisions, approval to award a contract is by means of a Cabinet decision.</w:t>
      </w:r>
    </w:p>
    <w:p w14:paraId="795F8B82" w14:textId="77777777" w:rsidR="009F0073" w:rsidRDefault="009F0073" w:rsidP="009F0073">
      <w:pPr>
        <w:pStyle w:val="ListParagraph"/>
        <w:ind w:left="360"/>
      </w:pPr>
    </w:p>
    <w:p w14:paraId="617800F2" w14:textId="77777777" w:rsidR="009F0073" w:rsidRDefault="009F0073" w:rsidP="009F0073">
      <w:pPr>
        <w:pStyle w:val="ListParagraph"/>
        <w:numPr>
          <w:ilvl w:val="0"/>
          <w:numId w:val="15"/>
        </w:numPr>
      </w:pPr>
      <w:r>
        <w:t>The contract for the delivery of the programmes for Children and Young People between the Council and YHF will be finalised by Legal in collaboration with the responsible Council Officers. In addition, there will be agreements for each funding and programme/service scheme between YHF and VCS organisations.</w:t>
      </w:r>
    </w:p>
    <w:p w14:paraId="480EF65E" w14:textId="77777777" w:rsidR="004E7479" w:rsidRPr="001B5779" w:rsidRDefault="004E7479" w:rsidP="004E7479">
      <w:pPr>
        <w:pStyle w:val="ListParagraph"/>
        <w:ind w:left="567"/>
      </w:pPr>
    </w:p>
    <w:p w14:paraId="010E5F26" w14:textId="72C5415B" w:rsidR="004E7479" w:rsidRDefault="004E7479" w:rsidP="00B40C9E">
      <w:pPr>
        <w:pStyle w:val="ListParagraph"/>
        <w:numPr>
          <w:ilvl w:val="0"/>
          <w:numId w:val="15"/>
        </w:numPr>
      </w:pPr>
      <w:r w:rsidRPr="001B5779">
        <w:t>Table 1 of the Authorisation and Acceptance Thresholds of the Council’s Contract Procedure Rules (CPRs) state that for contract awards with a value of £500,000 and above and all key decisions, approval to award is by means of a Cabinet decision.</w:t>
      </w:r>
    </w:p>
    <w:p w14:paraId="1F64F6F8" w14:textId="77777777" w:rsidR="004E7479" w:rsidRPr="001B5779" w:rsidRDefault="004E7479" w:rsidP="004E7479"/>
    <w:p w14:paraId="54A51334" w14:textId="68636BCB" w:rsidR="00A1211C" w:rsidRPr="0041655D" w:rsidRDefault="004E7479" w:rsidP="00B40C9E">
      <w:pPr>
        <w:pStyle w:val="ListParagraph"/>
        <w:numPr>
          <w:ilvl w:val="0"/>
          <w:numId w:val="15"/>
        </w:numPr>
        <w:rPr>
          <w:color w:val="0000FF"/>
        </w:rPr>
      </w:pPr>
      <w:r w:rsidRPr="001B5779">
        <w:t xml:space="preserve">The contract for the delivery of the </w:t>
      </w:r>
      <w:r w:rsidR="00D51353">
        <w:t xml:space="preserve">programmes for Children and Young People </w:t>
      </w:r>
      <w:r w:rsidRPr="001B5779">
        <w:t>between the Council and YHF will be finalised by Legal in collaboration with the responsible Council Officers</w:t>
      </w:r>
      <w:r w:rsidR="00D51353">
        <w:t xml:space="preserve">. In </w:t>
      </w:r>
      <w:r w:rsidR="00EB40E3">
        <w:t>addition,</w:t>
      </w:r>
      <w:r w:rsidR="00D51353">
        <w:t xml:space="preserve"> there will be agreements for each funding and programme/service scheme</w:t>
      </w:r>
      <w:r w:rsidR="00EB40E3">
        <w:t xml:space="preserve"> between YHF and VCS organisations</w:t>
      </w:r>
      <w:r w:rsidR="00D51353">
        <w:t>.</w:t>
      </w:r>
    </w:p>
    <w:p w14:paraId="11F2AC04" w14:textId="77777777" w:rsidR="00333FAA" w:rsidRDefault="00333FAA" w:rsidP="00A1211C">
      <w:pPr>
        <w:pStyle w:val="Heading3"/>
        <w:spacing w:before="480" w:after="240"/>
      </w:pPr>
      <w:r>
        <w:t>Financial Implications</w:t>
      </w:r>
    </w:p>
    <w:p w14:paraId="3F0E9F71" w14:textId="1C6C4928" w:rsidR="00914122" w:rsidRDefault="00C55501" w:rsidP="00914122">
      <w:pPr>
        <w:rPr>
          <w:rFonts w:cs="Arial"/>
        </w:rPr>
      </w:pPr>
      <w:r w:rsidRPr="00C3037B">
        <w:rPr>
          <w:rFonts w:cs="Arial"/>
          <w:b/>
          <w:bCs/>
        </w:rPr>
        <w:t>Holiday Activity Food Programme</w:t>
      </w:r>
      <w:r>
        <w:rPr>
          <w:rFonts w:cs="Arial"/>
        </w:rPr>
        <w:t>:</w:t>
      </w:r>
    </w:p>
    <w:p w14:paraId="013F538F" w14:textId="77777777" w:rsidR="00A2443A" w:rsidRPr="00FC67BB" w:rsidRDefault="00A2443A" w:rsidP="00914122">
      <w:pPr>
        <w:rPr>
          <w:rFonts w:cs="Arial"/>
        </w:rPr>
      </w:pPr>
    </w:p>
    <w:p w14:paraId="68236678" w14:textId="492B275B" w:rsidR="00542A0E" w:rsidRDefault="00542A0E" w:rsidP="00B40C9E">
      <w:pPr>
        <w:pStyle w:val="ListParagraph"/>
        <w:numPr>
          <w:ilvl w:val="0"/>
          <w:numId w:val="15"/>
        </w:numPr>
        <w:ind w:left="567" w:hanging="567"/>
      </w:pPr>
      <w:r w:rsidRPr="00CE7740">
        <w:t xml:space="preserve">The purpose of the grant is for local authorities to make free places at holiday clubs available in the Easter, </w:t>
      </w:r>
      <w:r w:rsidR="00D51353">
        <w:t>S</w:t>
      </w:r>
      <w:r w:rsidRPr="00CE7740">
        <w:t>ummer and Christmas holidays 202</w:t>
      </w:r>
      <w:r w:rsidR="00566871">
        <w:t>2</w:t>
      </w:r>
      <w:r w:rsidRPr="00CE7740">
        <w:t xml:space="preserve"> to children in their local authority who receive benefits-related free school meals.</w:t>
      </w:r>
    </w:p>
    <w:p w14:paraId="311EF052" w14:textId="77777777" w:rsidR="00542A0E" w:rsidRDefault="00542A0E" w:rsidP="00542A0E">
      <w:pPr>
        <w:ind w:left="567" w:hanging="567"/>
      </w:pPr>
    </w:p>
    <w:p w14:paraId="0AF654C1" w14:textId="77777777" w:rsidR="00542A0E" w:rsidRDefault="00542A0E" w:rsidP="00B40C9E">
      <w:pPr>
        <w:pStyle w:val="ListParagraph"/>
        <w:numPr>
          <w:ilvl w:val="0"/>
          <w:numId w:val="15"/>
        </w:numPr>
        <w:ind w:left="567" w:hanging="567"/>
      </w:pPr>
      <w:r>
        <w:t xml:space="preserve">Funding for Harrow Council has been confirmed as: </w:t>
      </w:r>
    </w:p>
    <w:p w14:paraId="4D3947A5" w14:textId="32B6D065" w:rsidR="00542A0E" w:rsidRDefault="00542A0E" w:rsidP="00D37957">
      <w:pPr>
        <w:pStyle w:val="ListParagraph"/>
        <w:numPr>
          <w:ilvl w:val="0"/>
          <w:numId w:val="7"/>
        </w:numPr>
      </w:pPr>
      <w:r>
        <w:t>202</w:t>
      </w:r>
      <w:r w:rsidR="00B96815">
        <w:t>2</w:t>
      </w:r>
      <w:r>
        <w:t>/2</w:t>
      </w:r>
      <w:r w:rsidR="00B96815">
        <w:t>3</w:t>
      </w:r>
      <w:r>
        <w:t xml:space="preserve"> - </w:t>
      </w:r>
      <w:r w:rsidR="00B96815">
        <w:t>£663,060.00</w:t>
      </w:r>
    </w:p>
    <w:p w14:paraId="5F3D88A7" w14:textId="77777777" w:rsidR="00542A0E" w:rsidRDefault="00542A0E" w:rsidP="00542A0E"/>
    <w:p w14:paraId="56B0455C" w14:textId="77777777" w:rsidR="00542A0E" w:rsidRDefault="00542A0E" w:rsidP="00B40C9E">
      <w:pPr>
        <w:pStyle w:val="ListParagraph"/>
        <w:numPr>
          <w:ilvl w:val="0"/>
          <w:numId w:val="15"/>
        </w:numPr>
        <w:ind w:left="567" w:hanging="567"/>
      </w:pPr>
      <w:r>
        <w:t>Payments will be made by Department for Education at the following milestones:</w:t>
      </w:r>
    </w:p>
    <w:p w14:paraId="4361BA55" w14:textId="77777777" w:rsidR="00542A0E" w:rsidRDefault="00542A0E" w:rsidP="00542A0E"/>
    <w:p w14:paraId="605B2DCC" w14:textId="77777777" w:rsidR="00444AAC" w:rsidRPr="00512B7D" w:rsidRDefault="00444AAC" w:rsidP="00D37957">
      <w:pPr>
        <w:pStyle w:val="ListParagraph"/>
        <w:numPr>
          <w:ilvl w:val="0"/>
          <w:numId w:val="7"/>
        </w:numPr>
        <w:rPr>
          <w:rFonts w:cs="Arial"/>
        </w:rPr>
      </w:pPr>
      <w:r w:rsidRPr="00512B7D">
        <w:rPr>
          <w:rFonts w:cs="Arial"/>
        </w:rPr>
        <w:t xml:space="preserve">A payment of up to 80% of the Authority’s total 2022/2023 allocation will be made in April 2022 to the Authority by the Department following satisfactory receipt by 1 March 2022 of a report to the Department.  </w:t>
      </w:r>
    </w:p>
    <w:p w14:paraId="10E50DA0" w14:textId="77777777" w:rsidR="00542A0E" w:rsidRDefault="00542A0E" w:rsidP="00542A0E">
      <w:pPr>
        <w:ind w:left="1134" w:hanging="567"/>
      </w:pPr>
    </w:p>
    <w:p w14:paraId="035AC14C" w14:textId="77777777" w:rsidR="00777F8E" w:rsidRPr="00512B7D" w:rsidRDefault="00777F8E" w:rsidP="00D37957">
      <w:pPr>
        <w:pStyle w:val="ListParagraph"/>
        <w:numPr>
          <w:ilvl w:val="0"/>
          <w:numId w:val="7"/>
        </w:numPr>
        <w:rPr>
          <w:rFonts w:cs="Arial"/>
        </w:rPr>
      </w:pPr>
      <w:r w:rsidRPr="00512B7D">
        <w:rPr>
          <w:rFonts w:cs="Arial"/>
        </w:rPr>
        <w:t xml:space="preserve">A payment of up to the remaining 20% of the Authority’s total 2022/23 allocation will be made in April 2023 to the Authority by the Department following satisfactory submission to the Department by 15 February 2023 of a report.   </w:t>
      </w:r>
    </w:p>
    <w:p w14:paraId="69ACDC87" w14:textId="77777777" w:rsidR="00444AAC" w:rsidRDefault="00444AAC" w:rsidP="00444AAC">
      <w:pPr>
        <w:pStyle w:val="ListParagraph"/>
        <w:ind w:left="1134"/>
      </w:pPr>
    </w:p>
    <w:p w14:paraId="3E1A8DFE" w14:textId="5D43BFB9" w:rsidR="00542A0E" w:rsidRDefault="00542A0E" w:rsidP="00B40C9E">
      <w:pPr>
        <w:pStyle w:val="ListParagraph"/>
        <w:numPr>
          <w:ilvl w:val="0"/>
          <w:numId w:val="15"/>
        </w:numPr>
        <w:ind w:left="567" w:hanging="567"/>
      </w:pPr>
      <w:r>
        <w:t>DfE have confirmed 10% of the total grant can be used to pay for co-ordination of the programme and the remaining 90% must be allocated to the delivery of the HAF provision</w:t>
      </w:r>
      <w:r w:rsidR="00512B7D">
        <w:t>.</w:t>
      </w:r>
      <w:r>
        <w:t xml:space="preserve">  The local authority will release these payments once received, to Young Harrow Foundation upon agreed invoices.</w:t>
      </w:r>
    </w:p>
    <w:p w14:paraId="2F5CCFCA" w14:textId="046D3901" w:rsidR="00A2443A" w:rsidRDefault="00F437E0" w:rsidP="00FC67BB">
      <w:pPr>
        <w:rPr>
          <w:rFonts w:cs="Arial"/>
          <w:b/>
          <w:bCs/>
        </w:rPr>
      </w:pPr>
      <w:r w:rsidRPr="00F437E0">
        <w:rPr>
          <w:rFonts w:cs="Arial"/>
          <w:b/>
          <w:bCs/>
        </w:rPr>
        <w:lastRenderedPageBreak/>
        <w:t>Community Mental Health Grant:</w:t>
      </w:r>
    </w:p>
    <w:p w14:paraId="6D30A05F" w14:textId="77777777" w:rsidR="00A2443A" w:rsidRPr="00F437E0" w:rsidRDefault="00A2443A" w:rsidP="00FC67BB">
      <w:pPr>
        <w:rPr>
          <w:rFonts w:cs="Arial"/>
          <w:b/>
          <w:bCs/>
        </w:rPr>
      </w:pPr>
    </w:p>
    <w:p w14:paraId="53957866" w14:textId="77777777" w:rsidR="00781B46" w:rsidRDefault="00781B46" w:rsidP="00B40C9E">
      <w:pPr>
        <w:pStyle w:val="ListParagraph"/>
        <w:numPr>
          <w:ilvl w:val="0"/>
          <w:numId w:val="15"/>
        </w:numPr>
        <w:ind w:left="567" w:hanging="567"/>
      </w:pPr>
      <w:r>
        <w:t xml:space="preserve">Funding for Harrow Council has been confirmed as: </w:t>
      </w:r>
    </w:p>
    <w:p w14:paraId="2838B4E7" w14:textId="10DBC118" w:rsidR="00781B46" w:rsidRDefault="00781B46" w:rsidP="00D37957">
      <w:pPr>
        <w:pStyle w:val="ListParagraph"/>
        <w:numPr>
          <w:ilvl w:val="0"/>
          <w:numId w:val="7"/>
        </w:numPr>
      </w:pPr>
      <w:r>
        <w:t>202</w:t>
      </w:r>
      <w:r w:rsidR="000A3CBD">
        <w:t>1/22</w:t>
      </w:r>
      <w:r>
        <w:t xml:space="preserve"> - £</w:t>
      </w:r>
      <w:r w:rsidR="00633431">
        <w:t>74</w:t>
      </w:r>
      <w:r w:rsidR="000A3CBD">
        <w:t xml:space="preserve">,000 </w:t>
      </w:r>
    </w:p>
    <w:p w14:paraId="4E3C40F3" w14:textId="77777777" w:rsidR="005F5150" w:rsidRDefault="005F5150" w:rsidP="005F5150">
      <w:pPr>
        <w:pStyle w:val="ListParagraph"/>
        <w:ind w:left="1287"/>
      </w:pPr>
    </w:p>
    <w:p w14:paraId="2EA53B66" w14:textId="11B07007" w:rsidR="005F5150" w:rsidRDefault="009A4C38" w:rsidP="00B40C9E">
      <w:pPr>
        <w:pStyle w:val="ListParagraph"/>
        <w:numPr>
          <w:ilvl w:val="0"/>
          <w:numId w:val="15"/>
        </w:numPr>
      </w:pPr>
      <w:r>
        <w:t xml:space="preserve"> </w:t>
      </w:r>
      <w:r w:rsidR="005F5150">
        <w:t xml:space="preserve">CNWL have confirmed 10% of the total grant </w:t>
      </w:r>
      <w:r w:rsidR="00D51353">
        <w:t>is available to fund the</w:t>
      </w:r>
      <w:r w:rsidR="005F5150">
        <w:t xml:space="preserve"> co-ordination of the programme and the remaining 90% allocated to the voluntary sector delivery of the </w:t>
      </w:r>
      <w:r w:rsidR="000E235B">
        <w:t xml:space="preserve">mental health </w:t>
      </w:r>
      <w:r w:rsidR="005F5150">
        <w:t>provision.  The local authority will release these payments once received, to Young Harrow Foundation upon agreed invoices.</w:t>
      </w:r>
    </w:p>
    <w:p w14:paraId="33BE8829" w14:textId="66E91302" w:rsidR="000A3CBD" w:rsidRDefault="000A3CBD" w:rsidP="000E235B">
      <w:pPr>
        <w:pStyle w:val="ListParagraph"/>
        <w:ind w:left="360"/>
      </w:pPr>
    </w:p>
    <w:p w14:paraId="6DE28AD4" w14:textId="482FA5C3" w:rsidR="00365CBC" w:rsidRPr="00365CBC" w:rsidRDefault="009A4C38" w:rsidP="00365CBC">
      <w:pPr>
        <w:pStyle w:val="ListParagraph"/>
        <w:numPr>
          <w:ilvl w:val="0"/>
          <w:numId w:val="15"/>
        </w:numPr>
        <w:rPr>
          <w:rFonts w:cs="Arial"/>
        </w:rPr>
      </w:pPr>
      <w:r w:rsidRPr="00365CBC">
        <w:rPr>
          <w:rFonts w:cs="Arial"/>
        </w:rPr>
        <w:t xml:space="preserve"> Other grant</w:t>
      </w:r>
      <w:r w:rsidR="00081155" w:rsidRPr="00365CBC">
        <w:rPr>
          <w:rFonts w:cs="Arial"/>
        </w:rPr>
        <w:t>s received will be processed and monitored in the same way</w:t>
      </w:r>
      <w:r w:rsidR="00365CBC" w:rsidRPr="00365CBC">
        <w:t xml:space="preserve"> </w:t>
      </w:r>
      <w:r w:rsidR="00365CBC" w:rsidRPr="00365CBC">
        <w:rPr>
          <w:rFonts w:cs="Arial"/>
        </w:rPr>
        <w:t xml:space="preserve">where the awarding body’s grant terms </w:t>
      </w:r>
      <w:r w:rsidR="00365CBC">
        <w:rPr>
          <w:rFonts w:cs="Arial"/>
        </w:rPr>
        <w:t xml:space="preserve">and </w:t>
      </w:r>
      <w:r w:rsidR="00365CBC" w:rsidRPr="00365CBC">
        <w:rPr>
          <w:rFonts w:cs="Arial"/>
        </w:rPr>
        <w:t>conditions allow.</w:t>
      </w:r>
    </w:p>
    <w:p w14:paraId="41D80CF8" w14:textId="186ADDA0"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56C50104" w14:textId="1786838E" w:rsidR="00365FA5" w:rsidRPr="00186E4C" w:rsidRDefault="00365FA5" w:rsidP="00365FA5">
      <w:pPr>
        <w:rPr>
          <w:b/>
          <w:bCs/>
        </w:rPr>
      </w:pPr>
      <w:r w:rsidRPr="00186E4C">
        <w:rPr>
          <w:b/>
          <w:bCs/>
        </w:rPr>
        <w:t>Holiday Activities and Food Programme:</w:t>
      </w:r>
    </w:p>
    <w:p w14:paraId="1E71A0D3" w14:textId="77777777" w:rsidR="00365FA5" w:rsidRPr="00365FA5" w:rsidRDefault="00365FA5" w:rsidP="00365FA5"/>
    <w:p w14:paraId="0BF25081" w14:textId="27240003" w:rsidR="00E7124B" w:rsidRPr="004232AB" w:rsidRDefault="00E7124B" w:rsidP="00B40C9E">
      <w:pPr>
        <w:pStyle w:val="ListParagraph"/>
        <w:numPr>
          <w:ilvl w:val="0"/>
          <w:numId w:val="15"/>
        </w:numPr>
        <w:ind w:left="567" w:hanging="567"/>
        <w:rPr>
          <w:szCs w:val="24"/>
        </w:rPr>
      </w:pPr>
      <w:bookmarkStart w:id="4" w:name="_Hlk59610248"/>
      <w:r w:rsidRPr="004232AB">
        <w:rPr>
          <w:szCs w:val="24"/>
        </w:rPr>
        <w:t xml:space="preserve">An initial inequalities impact assessment has been undertaken as part of the </w:t>
      </w:r>
      <w:r w:rsidR="00162D9F">
        <w:rPr>
          <w:szCs w:val="24"/>
        </w:rPr>
        <w:t>m</w:t>
      </w:r>
      <w:r w:rsidRPr="004232AB">
        <w:rPr>
          <w:szCs w:val="24"/>
        </w:rPr>
        <w:t xml:space="preserve">apping requirement for the DfE.  </w:t>
      </w:r>
      <w:bookmarkEnd w:id="4"/>
      <w:r w:rsidRPr="004232AB">
        <w:rPr>
          <w:szCs w:val="24"/>
        </w:rPr>
        <w:t xml:space="preserve">The summary outcome is that there is positive impact on the community as the provision aims to target social, financial and health deprivation.  </w:t>
      </w:r>
    </w:p>
    <w:p w14:paraId="6A071172" w14:textId="77777777" w:rsidR="00E7124B" w:rsidRDefault="00E7124B" w:rsidP="00E7124B">
      <w:pPr>
        <w:ind w:left="567" w:hanging="567"/>
        <w:rPr>
          <w:szCs w:val="24"/>
        </w:rPr>
      </w:pPr>
    </w:p>
    <w:p w14:paraId="2C351F2D" w14:textId="4B8F387F" w:rsidR="00E7124B" w:rsidRDefault="00E7124B" w:rsidP="00B40C9E">
      <w:pPr>
        <w:pStyle w:val="ListParagraph"/>
        <w:numPr>
          <w:ilvl w:val="0"/>
          <w:numId w:val="15"/>
        </w:numPr>
        <w:ind w:left="567" w:hanging="567"/>
        <w:rPr>
          <w:szCs w:val="24"/>
        </w:rPr>
      </w:pPr>
      <w:r w:rsidRPr="004232AB">
        <w:rPr>
          <w:szCs w:val="24"/>
        </w:rPr>
        <w:t xml:space="preserve">The </w:t>
      </w:r>
      <w:r>
        <w:rPr>
          <w:szCs w:val="24"/>
        </w:rPr>
        <w:t>Co</w:t>
      </w:r>
      <w:r w:rsidRPr="004232AB">
        <w:rPr>
          <w:szCs w:val="24"/>
        </w:rPr>
        <w:t xml:space="preserve">uncil will provide data on families accessing free school meals, childhood obesity and other protected characteristic groups required by the DfE in order to promote the programme and deliver the provision in areas in most need.  Monitoring and evaluation will be integral to the development and take up of the project allowing future planning of holiday activities.    </w:t>
      </w:r>
    </w:p>
    <w:p w14:paraId="073A718B" w14:textId="77777777" w:rsidR="0035254E" w:rsidRPr="0035254E" w:rsidRDefault="0035254E" w:rsidP="0035254E">
      <w:pPr>
        <w:pStyle w:val="ListParagraph"/>
        <w:rPr>
          <w:szCs w:val="24"/>
        </w:rPr>
      </w:pPr>
    </w:p>
    <w:p w14:paraId="50772E5C" w14:textId="51AE17DA" w:rsidR="0035254E" w:rsidRDefault="0035254E" w:rsidP="00B40C9E">
      <w:pPr>
        <w:pStyle w:val="ListParagraph"/>
        <w:numPr>
          <w:ilvl w:val="0"/>
          <w:numId w:val="15"/>
        </w:numPr>
        <w:ind w:left="567" w:hanging="567"/>
        <w:rPr>
          <w:szCs w:val="24"/>
        </w:rPr>
      </w:pPr>
      <w:r>
        <w:rPr>
          <w:szCs w:val="24"/>
        </w:rPr>
        <w:t>Each grant funded programme will</w:t>
      </w:r>
      <w:r w:rsidR="00450F96">
        <w:rPr>
          <w:szCs w:val="24"/>
        </w:rPr>
        <w:t xml:space="preserve"> </w:t>
      </w:r>
      <w:r w:rsidR="00060956">
        <w:rPr>
          <w:szCs w:val="24"/>
        </w:rPr>
        <w:t xml:space="preserve">have </w:t>
      </w:r>
      <w:r w:rsidR="000F077D">
        <w:rPr>
          <w:szCs w:val="24"/>
        </w:rPr>
        <w:t>an initial equalities</w:t>
      </w:r>
      <w:r w:rsidR="00AC41A8">
        <w:rPr>
          <w:szCs w:val="24"/>
        </w:rPr>
        <w:t xml:space="preserve">, diversity and inclusion </w:t>
      </w:r>
      <w:r w:rsidR="000F077D">
        <w:rPr>
          <w:szCs w:val="24"/>
        </w:rPr>
        <w:t xml:space="preserve">assessment </w:t>
      </w:r>
      <w:r w:rsidR="00AC41A8">
        <w:rPr>
          <w:szCs w:val="24"/>
        </w:rPr>
        <w:t xml:space="preserve">which will determine </w:t>
      </w:r>
      <w:r w:rsidR="005A5B35">
        <w:rPr>
          <w:szCs w:val="24"/>
        </w:rPr>
        <w:t>the projects outcomes</w:t>
      </w:r>
      <w:r w:rsidR="006C6C9B">
        <w:rPr>
          <w:szCs w:val="24"/>
        </w:rPr>
        <w:t xml:space="preserve"> and will be monitored to show impact.</w:t>
      </w:r>
    </w:p>
    <w:p w14:paraId="1B6A9187" w14:textId="77777777" w:rsidR="004468C9" w:rsidRPr="004468C9" w:rsidRDefault="004468C9" w:rsidP="004468C9">
      <w:pPr>
        <w:pStyle w:val="ListParagraph"/>
        <w:rPr>
          <w:szCs w:val="24"/>
        </w:rPr>
      </w:pPr>
    </w:p>
    <w:p w14:paraId="310EAF5F" w14:textId="5F2214D8" w:rsidR="004468C9" w:rsidRPr="004468C9" w:rsidRDefault="004468C9" w:rsidP="004468C9">
      <w:pPr>
        <w:pStyle w:val="ListParagraph"/>
        <w:ind w:left="567"/>
        <w:rPr>
          <w:b/>
          <w:bCs/>
          <w:szCs w:val="24"/>
        </w:rPr>
      </w:pPr>
      <w:r w:rsidRPr="004468C9">
        <w:rPr>
          <w:b/>
          <w:bCs/>
          <w:szCs w:val="24"/>
        </w:rPr>
        <w:t>Community Mental Health Grant:</w:t>
      </w:r>
    </w:p>
    <w:p w14:paraId="5D3DB378" w14:textId="77777777" w:rsidR="00D6365D" w:rsidRPr="00D6365D" w:rsidRDefault="00D6365D" w:rsidP="00D6365D">
      <w:pPr>
        <w:pStyle w:val="ListParagraph"/>
        <w:rPr>
          <w:szCs w:val="24"/>
        </w:rPr>
      </w:pPr>
    </w:p>
    <w:p w14:paraId="34E8ACE6" w14:textId="30592E75" w:rsidR="00D6365D" w:rsidRDefault="00D6365D" w:rsidP="00B40C9E">
      <w:pPr>
        <w:pStyle w:val="ListParagraph"/>
        <w:numPr>
          <w:ilvl w:val="0"/>
          <w:numId w:val="15"/>
        </w:numPr>
        <w:ind w:left="567" w:hanging="567"/>
        <w:rPr>
          <w:szCs w:val="24"/>
        </w:rPr>
      </w:pPr>
      <w:r>
        <w:rPr>
          <w:szCs w:val="24"/>
        </w:rPr>
        <w:t>An in depth needs ana</w:t>
      </w:r>
      <w:r w:rsidR="00FC0BB3">
        <w:rPr>
          <w:szCs w:val="24"/>
        </w:rPr>
        <w:t xml:space="preserve">lysis, </w:t>
      </w:r>
      <w:r w:rsidR="00296AA6">
        <w:rPr>
          <w:szCs w:val="24"/>
        </w:rPr>
        <w:t>‘</w:t>
      </w:r>
      <w:r w:rsidR="00FC0BB3">
        <w:rPr>
          <w:szCs w:val="24"/>
        </w:rPr>
        <w:t>How Are You</w:t>
      </w:r>
      <w:r w:rsidR="00296AA6">
        <w:rPr>
          <w:szCs w:val="24"/>
        </w:rPr>
        <w:t xml:space="preserve"> Harrow’ </w:t>
      </w:r>
      <w:r w:rsidR="00FC39F1">
        <w:rPr>
          <w:szCs w:val="24"/>
        </w:rPr>
        <w:t xml:space="preserve">commissioned by the </w:t>
      </w:r>
      <w:r w:rsidR="00BE09D2">
        <w:rPr>
          <w:szCs w:val="24"/>
        </w:rPr>
        <w:t>C</w:t>
      </w:r>
      <w:r w:rsidR="00FC39F1">
        <w:rPr>
          <w:szCs w:val="24"/>
        </w:rPr>
        <w:t xml:space="preserve">ouncil and YHF contains </w:t>
      </w:r>
      <w:r w:rsidR="00BE09D2">
        <w:rPr>
          <w:szCs w:val="24"/>
        </w:rPr>
        <w:t>equalities data that will be used to</w:t>
      </w:r>
      <w:r w:rsidR="0015676A">
        <w:rPr>
          <w:szCs w:val="24"/>
        </w:rPr>
        <w:t xml:space="preserve"> </w:t>
      </w:r>
      <w:r w:rsidR="00717683">
        <w:rPr>
          <w:szCs w:val="24"/>
        </w:rPr>
        <w:t xml:space="preserve">design activities and services in areas that will benefit the most. </w:t>
      </w:r>
      <w:r w:rsidR="00BE09D2">
        <w:rPr>
          <w:szCs w:val="24"/>
        </w:rPr>
        <w:t xml:space="preserve"> </w:t>
      </w:r>
    </w:p>
    <w:p w14:paraId="1312E307" w14:textId="77777777" w:rsidR="009D6465" w:rsidRPr="009D6465" w:rsidRDefault="009D6465" w:rsidP="009D6465">
      <w:pPr>
        <w:pStyle w:val="ListParagraph"/>
        <w:rPr>
          <w:szCs w:val="24"/>
        </w:rPr>
      </w:pPr>
    </w:p>
    <w:p w14:paraId="6858005D" w14:textId="485ECE0A" w:rsidR="009D6465" w:rsidRPr="004232AB" w:rsidRDefault="009D6465" w:rsidP="00B40C9E">
      <w:pPr>
        <w:pStyle w:val="ListParagraph"/>
        <w:numPr>
          <w:ilvl w:val="0"/>
          <w:numId w:val="15"/>
        </w:numPr>
        <w:ind w:left="567" w:hanging="567"/>
        <w:rPr>
          <w:szCs w:val="24"/>
        </w:rPr>
      </w:pPr>
      <w:r w:rsidRPr="009D6465">
        <w:rPr>
          <w:szCs w:val="24"/>
        </w:rPr>
        <w:t>Consultation, engagement and co-production with children and young people will be undertake as required by the programmes.</w:t>
      </w:r>
    </w:p>
    <w:p w14:paraId="0E9ED8C5" w14:textId="1BF62E0F" w:rsidR="00333FAA" w:rsidRPr="00B40C9E" w:rsidRDefault="00333FAA" w:rsidP="576EF44A">
      <w:pPr>
        <w:pStyle w:val="Heading3"/>
        <w:spacing w:before="480" w:after="240"/>
        <w:ind w:left="0" w:firstLine="0"/>
        <w:rPr>
          <w:rFonts w:eastAsia="Arial"/>
          <w:b w:val="0"/>
          <w:bCs w:val="0"/>
          <w:sz w:val="24"/>
          <w:szCs w:val="24"/>
        </w:rPr>
      </w:pPr>
      <w:r>
        <w:t>Council Priorities</w:t>
      </w:r>
    </w:p>
    <w:p w14:paraId="7EEEB0D0" w14:textId="47622306" w:rsidR="001966D7" w:rsidRPr="005F5CF0" w:rsidRDefault="00EB40E3" w:rsidP="005F5CF0">
      <w:pPr>
        <w:pStyle w:val="ListParagraph"/>
        <w:numPr>
          <w:ilvl w:val="0"/>
          <w:numId w:val="15"/>
        </w:numPr>
        <w:rPr>
          <w:rFonts w:cs="Arial"/>
          <w:szCs w:val="24"/>
          <w:lang w:val="en-US"/>
        </w:rPr>
      </w:pPr>
      <w:r w:rsidRPr="005F5CF0">
        <w:rPr>
          <w:rFonts w:cs="Arial"/>
          <w:szCs w:val="24"/>
          <w:lang w:val="en-US"/>
        </w:rPr>
        <w:t xml:space="preserve">The services that will be provided for vulnerable children and young people, and their families through this operating model contribute to the Council’s priorities: </w:t>
      </w:r>
    </w:p>
    <w:p w14:paraId="3B546FEA" w14:textId="77777777" w:rsidR="00D07F46" w:rsidRPr="00B40C9E" w:rsidRDefault="00D0381E" w:rsidP="00B40C9E">
      <w:pPr>
        <w:pStyle w:val="ListParagraph"/>
        <w:numPr>
          <w:ilvl w:val="0"/>
          <w:numId w:val="2"/>
        </w:numPr>
        <w:autoSpaceDE w:val="0"/>
        <w:autoSpaceDN w:val="0"/>
        <w:rPr>
          <w:bCs/>
        </w:rPr>
      </w:pPr>
      <w:r w:rsidRPr="00B40C9E">
        <w:rPr>
          <w:bCs/>
        </w:rPr>
        <w:t>Tackling poverty and inequality</w:t>
      </w:r>
    </w:p>
    <w:p w14:paraId="53B22976" w14:textId="77777777" w:rsidR="00D07F46" w:rsidRPr="00B40C9E" w:rsidRDefault="00D0381E" w:rsidP="00B40C9E">
      <w:pPr>
        <w:pStyle w:val="ListParagraph"/>
        <w:numPr>
          <w:ilvl w:val="0"/>
          <w:numId w:val="2"/>
        </w:numPr>
        <w:autoSpaceDE w:val="0"/>
        <w:autoSpaceDN w:val="0"/>
        <w:rPr>
          <w:bCs/>
        </w:rPr>
      </w:pPr>
      <w:r w:rsidRPr="00B40C9E">
        <w:rPr>
          <w:bCs/>
        </w:rPr>
        <w:t>Addressing health and social care inequality</w:t>
      </w:r>
    </w:p>
    <w:p w14:paraId="74ED77AB" w14:textId="77777777" w:rsidR="00307F76" w:rsidRPr="00B40C9E" w:rsidRDefault="00D0381E" w:rsidP="00B40C9E">
      <w:pPr>
        <w:pStyle w:val="ListParagraph"/>
        <w:numPr>
          <w:ilvl w:val="0"/>
          <w:numId w:val="2"/>
        </w:numPr>
        <w:autoSpaceDE w:val="0"/>
        <w:autoSpaceDN w:val="0"/>
        <w:rPr>
          <w:bCs/>
        </w:rPr>
      </w:pPr>
      <w:r w:rsidRPr="00B40C9E">
        <w:rPr>
          <w:bCs/>
        </w:rPr>
        <w:t>Thriving economy</w:t>
      </w:r>
    </w:p>
    <w:p w14:paraId="1BDE5486" w14:textId="62E90EB4" w:rsidR="007D2000" w:rsidRPr="007139EE" w:rsidRDefault="00333FAA" w:rsidP="007139EE">
      <w:pPr>
        <w:pStyle w:val="Heading2"/>
        <w:spacing w:before="480" w:after="240"/>
      </w:pPr>
      <w:r>
        <w:lastRenderedPageBreak/>
        <w:t>Section 3 - Statutory Officer Clearance</w:t>
      </w:r>
    </w:p>
    <w:p w14:paraId="3B5D52F9" w14:textId="004E8630" w:rsidR="00A66326" w:rsidRPr="00A66326" w:rsidRDefault="00A66326" w:rsidP="00A66326">
      <w:pPr>
        <w:rPr>
          <w:sz w:val="28"/>
        </w:rPr>
      </w:pPr>
      <w:r w:rsidRPr="00A66326">
        <w:rPr>
          <w:b/>
          <w:sz w:val="28"/>
        </w:rPr>
        <w:t xml:space="preserve">Statutory Officer:  </w:t>
      </w:r>
      <w:r w:rsidR="00365CBC">
        <w:rPr>
          <w:b/>
          <w:sz w:val="28"/>
        </w:rPr>
        <w:t>Jo Frost</w:t>
      </w:r>
    </w:p>
    <w:p w14:paraId="39A1DF98" w14:textId="61387A7F" w:rsidR="005F5CF0" w:rsidRDefault="000720B3" w:rsidP="00932343">
      <w:pPr>
        <w:rPr>
          <w:b/>
          <w:sz w:val="28"/>
        </w:rPr>
      </w:pPr>
      <w:r w:rsidRPr="00A66326">
        <w:t>Signed on</w:t>
      </w:r>
      <w:r>
        <w:t xml:space="preserve"> </w:t>
      </w:r>
      <w:r w:rsidRPr="00A66326">
        <w:t>behalf of</w:t>
      </w:r>
      <w:r>
        <w:t xml:space="preserve"> by the Chief Financial Officer</w:t>
      </w:r>
    </w:p>
    <w:p w14:paraId="555021EF" w14:textId="52B9B6AD" w:rsidR="00A66326" w:rsidRPr="00A66326" w:rsidRDefault="00A66326" w:rsidP="00A66326">
      <w:pPr>
        <w:spacing w:after="480"/>
        <w:rPr>
          <w:sz w:val="28"/>
        </w:rPr>
      </w:pPr>
      <w:r w:rsidRPr="00A66326">
        <w:rPr>
          <w:b/>
          <w:sz w:val="28"/>
        </w:rPr>
        <w:t xml:space="preserve">Date:  </w:t>
      </w:r>
      <w:r w:rsidR="00365CBC">
        <w:rPr>
          <w:b/>
          <w:sz w:val="28"/>
        </w:rPr>
        <w:t>19 January 2022</w:t>
      </w:r>
    </w:p>
    <w:p w14:paraId="7E329E85" w14:textId="78F20CA4" w:rsidR="00A66326" w:rsidRPr="00A66326" w:rsidRDefault="00A66326" w:rsidP="00A66326">
      <w:pPr>
        <w:rPr>
          <w:sz w:val="28"/>
        </w:rPr>
      </w:pPr>
      <w:r w:rsidRPr="00A66326">
        <w:rPr>
          <w:b/>
          <w:sz w:val="28"/>
        </w:rPr>
        <w:t xml:space="preserve">Statutory Officer:  </w:t>
      </w:r>
      <w:r w:rsidR="009F0073">
        <w:rPr>
          <w:b/>
          <w:sz w:val="28"/>
        </w:rPr>
        <w:t xml:space="preserve">Stephen Dorrian </w:t>
      </w:r>
    </w:p>
    <w:p w14:paraId="76E71941" w14:textId="4EC03E51" w:rsidR="00A66326" w:rsidRPr="00A66326" w:rsidRDefault="00A66326" w:rsidP="00932343">
      <w:pPr>
        <w:rPr>
          <w:sz w:val="28"/>
        </w:rPr>
      </w:pPr>
      <w:r w:rsidRPr="00A66326">
        <w:t>Signed o</w:t>
      </w:r>
      <w:r w:rsidR="00F13037">
        <w:t xml:space="preserve">n </w:t>
      </w:r>
      <w:r w:rsidRPr="00A66326">
        <w:t>behalf of the Monitoring Officer</w:t>
      </w:r>
    </w:p>
    <w:p w14:paraId="1AC0D358" w14:textId="2B1A0323" w:rsidR="00A66326" w:rsidRPr="003313EA" w:rsidRDefault="00A66326" w:rsidP="00A66326">
      <w:pPr>
        <w:spacing w:after="480"/>
        <w:rPr>
          <w:sz w:val="28"/>
        </w:rPr>
      </w:pPr>
      <w:r w:rsidRPr="00A66326">
        <w:rPr>
          <w:b/>
          <w:sz w:val="28"/>
        </w:rPr>
        <w:t xml:space="preserve">Date:  </w:t>
      </w:r>
      <w:r w:rsidR="009F0073">
        <w:rPr>
          <w:b/>
          <w:sz w:val="28"/>
        </w:rPr>
        <w:t>21 January 2022</w:t>
      </w:r>
    </w:p>
    <w:p w14:paraId="31D8FA55" w14:textId="3315DD82" w:rsidR="00BF5AFA" w:rsidRPr="00A66326" w:rsidRDefault="00BF5AFA" w:rsidP="00BF5AFA">
      <w:pPr>
        <w:rPr>
          <w:sz w:val="28"/>
        </w:rPr>
      </w:pPr>
      <w:r>
        <w:rPr>
          <w:b/>
          <w:sz w:val="28"/>
        </w:rPr>
        <w:t>Chief</w:t>
      </w:r>
      <w:r w:rsidRPr="00A66326">
        <w:rPr>
          <w:b/>
          <w:sz w:val="28"/>
        </w:rPr>
        <w:t xml:space="preserve"> Officer:  </w:t>
      </w:r>
      <w:r w:rsidR="000720B3">
        <w:rPr>
          <w:b/>
          <w:sz w:val="28"/>
        </w:rPr>
        <w:t>Paul Hewitt</w:t>
      </w:r>
    </w:p>
    <w:p w14:paraId="34A60057" w14:textId="40237DA5" w:rsidR="00BF5AFA" w:rsidRPr="00A66326" w:rsidRDefault="00BF5AFA" w:rsidP="00BF5AFA">
      <w:pPr>
        <w:rPr>
          <w:sz w:val="28"/>
        </w:rPr>
      </w:pPr>
      <w:r w:rsidRPr="00A66326">
        <w:t xml:space="preserve">Signed </w:t>
      </w:r>
      <w:r>
        <w:t>off by the Corporate Director</w:t>
      </w:r>
    </w:p>
    <w:p w14:paraId="5F67CDF0" w14:textId="5F8010BE" w:rsidR="00BF5AFA" w:rsidRPr="00A66326" w:rsidRDefault="00BF5AFA" w:rsidP="00BF5AFA">
      <w:pPr>
        <w:spacing w:after="480"/>
        <w:rPr>
          <w:sz w:val="28"/>
        </w:rPr>
      </w:pPr>
      <w:r w:rsidRPr="00A66326">
        <w:rPr>
          <w:b/>
          <w:sz w:val="28"/>
        </w:rPr>
        <w:t xml:space="preserve">Date: </w:t>
      </w:r>
      <w:r w:rsidR="005F5CF0">
        <w:rPr>
          <w:b/>
          <w:sz w:val="28"/>
        </w:rPr>
        <w:t>25 January 2022</w:t>
      </w:r>
      <w:r w:rsidRPr="00A66326">
        <w:rPr>
          <w:b/>
          <w:sz w:val="28"/>
        </w:rPr>
        <w:t xml:space="preserve"> </w:t>
      </w:r>
    </w:p>
    <w:p w14:paraId="2C546334" w14:textId="0539E0EB" w:rsidR="00BF5AFA" w:rsidRPr="00A66326" w:rsidRDefault="00BF5AFA" w:rsidP="00BF5AFA">
      <w:pPr>
        <w:rPr>
          <w:sz w:val="28"/>
        </w:rPr>
      </w:pPr>
      <w:r>
        <w:rPr>
          <w:b/>
          <w:sz w:val="28"/>
        </w:rPr>
        <w:t>Head of Procurement</w:t>
      </w:r>
      <w:r w:rsidRPr="00A66326">
        <w:rPr>
          <w:b/>
          <w:sz w:val="28"/>
        </w:rPr>
        <w:t xml:space="preserve">:  </w:t>
      </w:r>
      <w:r w:rsidR="00CF54CE">
        <w:rPr>
          <w:b/>
          <w:sz w:val="28"/>
        </w:rPr>
        <w:t>Lisa Taylor</w:t>
      </w:r>
    </w:p>
    <w:p w14:paraId="399669DE" w14:textId="2C980313" w:rsidR="00BF5AFA" w:rsidRPr="00A66326" w:rsidRDefault="00BF5AFA" w:rsidP="00BF5AFA">
      <w:pPr>
        <w:rPr>
          <w:sz w:val="28"/>
        </w:rPr>
      </w:pPr>
      <w:r w:rsidRPr="00A66326">
        <w:t>Signed on behalf of</w:t>
      </w:r>
      <w:r w:rsidR="00CF54CE">
        <w:t xml:space="preserve"> </w:t>
      </w:r>
      <w:r w:rsidRPr="00A66326">
        <w:t xml:space="preserve">the </w:t>
      </w:r>
      <w:r>
        <w:t>Head of Procurement</w:t>
      </w:r>
    </w:p>
    <w:p w14:paraId="5A683B65" w14:textId="3A73D4E5" w:rsidR="00BF5AFA" w:rsidRPr="003313EA" w:rsidRDefault="00BF5AFA" w:rsidP="00BF5AFA">
      <w:pPr>
        <w:spacing w:after="480"/>
        <w:rPr>
          <w:sz w:val="28"/>
        </w:rPr>
      </w:pPr>
      <w:r w:rsidRPr="00A66326">
        <w:rPr>
          <w:b/>
          <w:sz w:val="28"/>
        </w:rPr>
        <w:t xml:space="preserve">Date:  </w:t>
      </w:r>
      <w:r w:rsidR="009F0073">
        <w:rPr>
          <w:b/>
          <w:sz w:val="28"/>
        </w:rPr>
        <w:t>24 January 2022</w:t>
      </w:r>
    </w:p>
    <w:p w14:paraId="113297A5" w14:textId="560B03C0" w:rsidR="00BF5AFA" w:rsidRPr="00A66326" w:rsidRDefault="00BF5AFA" w:rsidP="00BF5AFA">
      <w:pPr>
        <w:rPr>
          <w:sz w:val="28"/>
        </w:rPr>
      </w:pPr>
      <w:r>
        <w:rPr>
          <w:b/>
          <w:sz w:val="28"/>
        </w:rPr>
        <w:t>Head of Internal Audit</w:t>
      </w:r>
      <w:r w:rsidRPr="00A66326">
        <w:rPr>
          <w:b/>
          <w:sz w:val="28"/>
        </w:rPr>
        <w:t xml:space="preserve">:  </w:t>
      </w:r>
      <w:r w:rsidR="005F5CF0">
        <w:rPr>
          <w:b/>
          <w:sz w:val="28"/>
        </w:rPr>
        <w:t>Neale Burns</w:t>
      </w:r>
    </w:p>
    <w:p w14:paraId="3B1CEB5F" w14:textId="5EBACB77" w:rsidR="00BF5AFA" w:rsidRPr="00A66326" w:rsidRDefault="00BF5AFA" w:rsidP="00932343">
      <w:pPr>
        <w:rPr>
          <w:sz w:val="28"/>
        </w:rPr>
      </w:pPr>
      <w:r w:rsidRPr="00A66326">
        <w:t xml:space="preserve">Signed on </w:t>
      </w:r>
      <w:r w:rsidR="005F5CF0">
        <w:t>b</w:t>
      </w:r>
      <w:r w:rsidRPr="00A66326">
        <w:t>ehalf of</w:t>
      </w:r>
      <w:r w:rsidR="005F5CF0">
        <w:t xml:space="preserve"> </w:t>
      </w:r>
      <w:r w:rsidRPr="00A66326">
        <w:t xml:space="preserve">the </w:t>
      </w:r>
      <w:r>
        <w:t>Head of Internal Audit</w:t>
      </w:r>
    </w:p>
    <w:p w14:paraId="065BF29C" w14:textId="1CE26A36" w:rsidR="00BF5AFA" w:rsidRDefault="00BF5AFA" w:rsidP="00BF5AFA">
      <w:pPr>
        <w:pStyle w:val="Heading2"/>
        <w:spacing w:after="240"/>
      </w:pPr>
      <w:r w:rsidRPr="00A66326">
        <w:rPr>
          <w:sz w:val="28"/>
        </w:rPr>
        <w:t>Date:</w:t>
      </w:r>
      <w:r w:rsidR="005F5CF0">
        <w:rPr>
          <w:sz w:val="28"/>
        </w:rPr>
        <w:t xml:space="preserve"> 27 January 2022</w:t>
      </w:r>
    </w:p>
    <w:p w14:paraId="45A19EC7" w14:textId="59434FDF" w:rsidR="003313EA" w:rsidRPr="00435B5D" w:rsidRDefault="003313EA" w:rsidP="00BF5AFA">
      <w:pPr>
        <w:pStyle w:val="Heading2"/>
        <w:spacing w:before="480" w:after="240"/>
      </w:pPr>
      <w:r>
        <w:t>Mandatory Checks</w:t>
      </w:r>
    </w:p>
    <w:p w14:paraId="2E8E750F" w14:textId="7981DAAF" w:rsidR="003313EA" w:rsidRDefault="003313EA" w:rsidP="007139EE">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3BC24DE7" w:rsidR="003313EA" w:rsidRDefault="003313EA" w:rsidP="003313EA">
      <w:pPr>
        <w:pStyle w:val="Heading3"/>
        <w:spacing w:before="240"/>
      </w:pPr>
      <w:proofErr w:type="spellStart"/>
      <w:r w:rsidRPr="00202D79">
        <w:t>EqIA</w:t>
      </w:r>
      <w:proofErr w:type="spellEnd"/>
      <w:r w:rsidRPr="00202D79">
        <w:t xml:space="preserve"> carried out:</w:t>
      </w:r>
      <w:r>
        <w:t xml:space="preserve">  </w:t>
      </w:r>
      <w:r w:rsidRPr="00202D79">
        <w:t>NO</w:t>
      </w:r>
    </w:p>
    <w:p w14:paraId="28336D76" w14:textId="77777777" w:rsidR="005F5CF0" w:rsidRPr="005F5CF0" w:rsidRDefault="005F5CF0" w:rsidP="005F5CF0"/>
    <w:p w14:paraId="05D598D3" w14:textId="144B6FB2" w:rsidR="005F5CF0" w:rsidRDefault="005F5CF0" w:rsidP="005F5CF0">
      <w:pPr>
        <w:pStyle w:val="ListParagraph"/>
        <w:numPr>
          <w:ilvl w:val="0"/>
          <w:numId w:val="15"/>
        </w:numPr>
        <w:rPr>
          <w:szCs w:val="24"/>
        </w:rPr>
      </w:pPr>
      <w:r>
        <w:rPr>
          <w:szCs w:val="24"/>
        </w:rPr>
        <w:t>Each grant funded programme will have an initial equalities, diversity and inclusion assessment which will determine the projects outcomes and will be monitored to show impact.</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CFC0A14" w:rsidR="00333FAA" w:rsidRPr="005F5CF0" w:rsidRDefault="00333FAA" w:rsidP="00CC18AC">
      <w:pPr>
        <w:pStyle w:val="Infotext"/>
        <w:spacing w:after="240"/>
        <w:rPr>
          <w:bCs/>
        </w:rPr>
      </w:pPr>
      <w:r w:rsidRPr="004E47FC">
        <w:rPr>
          <w:b/>
        </w:rPr>
        <w:t xml:space="preserve">Contact:  </w:t>
      </w:r>
      <w:r w:rsidR="005F5CF0" w:rsidRPr="005F5CF0">
        <w:rPr>
          <w:bCs/>
        </w:rPr>
        <w:t xml:space="preserve">Priya Ganatra, </w:t>
      </w:r>
      <w:hyperlink r:id="rId13" w:history="1">
        <w:r w:rsidR="005F5CF0" w:rsidRPr="005F5CF0">
          <w:rPr>
            <w:rStyle w:val="Hyperlink"/>
            <w:bCs/>
          </w:rPr>
          <w:t>priya.ganatra@harrow.gov.uk</w:t>
        </w:r>
      </w:hyperlink>
      <w:r w:rsidR="005F5CF0" w:rsidRPr="005F5CF0">
        <w:rPr>
          <w:bCs/>
        </w:rPr>
        <w:t xml:space="preserve"> </w:t>
      </w:r>
    </w:p>
    <w:p w14:paraId="2C73A923" w14:textId="786BEF48" w:rsidR="00D51353" w:rsidRDefault="00333FAA" w:rsidP="00D51353">
      <w:pPr>
        <w:pStyle w:val="Infotext"/>
        <w:spacing w:after="240"/>
        <w:rPr>
          <w:rFonts w:cs="Arial"/>
          <w:iCs/>
          <w:szCs w:val="24"/>
          <w:lang w:eastAsia="en-GB"/>
        </w:rPr>
      </w:pPr>
      <w:r w:rsidRPr="00B40C9E">
        <w:rPr>
          <w:rFonts w:ascii="Arial Black" w:hAnsi="Arial Black"/>
          <w:b/>
        </w:rPr>
        <w:t>Background Papers:</w:t>
      </w:r>
      <w:r w:rsidRPr="004E47FC">
        <w:rPr>
          <w:b/>
        </w:rPr>
        <w:t xml:space="preserve"> </w:t>
      </w:r>
      <w:r w:rsidR="005808FB">
        <w:rPr>
          <w:b/>
        </w:rPr>
        <w:t xml:space="preserve"> </w:t>
      </w:r>
      <w:r w:rsidR="00D51353">
        <w:rPr>
          <w:rFonts w:cs="Arial"/>
          <w:iCs/>
          <w:szCs w:val="24"/>
          <w:lang w:eastAsia="en-GB"/>
        </w:rPr>
        <w:t>None</w:t>
      </w:r>
    </w:p>
    <w:p w14:paraId="657EEA4C" w14:textId="0385E6AA" w:rsidR="00A74E57" w:rsidRDefault="00842757" w:rsidP="0051296A">
      <w:pPr>
        <w:pStyle w:val="Infotext"/>
        <w:spacing w:after="240"/>
        <w:rPr>
          <w:rFonts w:cs="Arial"/>
          <w:i/>
          <w:color w:val="FF0000"/>
          <w:sz w:val="24"/>
          <w:szCs w:val="24"/>
          <w:lang w:eastAsia="en-GB"/>
        </w:rPr>
      </w:pPr>
      <w:r>
        <w:rPr>
          <w:rFonts w:ascii="Arial Black" w:hAnsi="Arial Black"/>
        </w:rPr>
        <w:t>Call-in w</w:t>
      </w:r>
      <w:r w:rsidRPr="007C0DC3">
        <w:rPr>
          <w:rFonts w:ascii="Arial Black" w:hAnsi="Arial Black"/>
        </w:rPr>
        <w:t>aived by the Chair of Overview and Scrutiny Committee</w:t>
      </w:r>
      <w:r w:rsidR="0051296A">
        <w:rPr>
          <w:rFonts w:ascii="Arial Black" w:hAnsi="Arial Black"/>
        </w:rPr>
        <w:t xml:space="preserve"> - </w:t>
      </w:r>
      <w:r w:rsidRPr="003D78F6">
        <w:rPr>
          <w:b/>
        </w:rPr>
        <w:t xml:space="preserve">NO </w:t>
      </w:r>
    </w:p>
    <w:sectPr w:rsidR="00A74E57" w:rsidSect="00C73E71">
      <w:headerReference w:type="default" r:id="rId14"/>
      <w:headerReference w:type="first" r:id="rId15"/>
      <w:footerReference w:type="first" r:id="rId16"/>
      <w:pgSz w:w="11909" w:h="16834" w:code="9"/>
      <w:pgMar w:top="720" w:right="1797" w:bottom="1304"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BBCF" w14:textId="77777777" w:rsidR="000909EB" w:rsidRDefault="000909EB">
      <w:r>
        <w:separator/>
      </w:r>
    </w:p>
  </w:endnote>
  <w:endnote w:type="continuationSeparator" w:id="0">
    <w:p w14:paraId="38D19781" w14:textId="77777777" w:rsidR="000909EB" w:rsidRDefault="000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6435B" w14:textId="77777777" w:rsidR="000909EB" w:rsidRDefault="000909EB">
      <w:r>
        <w:separator/>
      </w:r>
    </w:p>
  </w:footnote>
  <w:footnote w:type="continuationSeparator" w:id="0">
    <w:p w14:paraId="3FFA4F78" w14:textId="77777777" w:rsidR="000909EB" w:rsidRDefault="0009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1DC"/>
    <w:multiLevelType w:val="hybridMultilevel"/>
    <w:tmpl w:val="07FCBF68"/>
    <w:lvl w:ilvl="0" w:tplc="86B09556">
      <w:start w:val="1"/>
      <w:numFmt w:val="decimal"/>
      <w:lvlText w:val="%1."/>
      <w:lvlJc w:val="left"/>
      <w:pPr>
        <w:ind w:left="360" w:hanging="360"/>
      </w:pPr>
      <w:rPr>
        <w:rFonts w:hint="default"/>
        <w:b w:val="0"/>
        <w:bCs/>
        <w:i w:val="0"/>
        <w:i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F1EEF"/>
    <w:multiLevelType w:val="hybridMultilevel"/>
    <w:tmpl w:val="6BECD0F2"/>
    <w:lvl w:ilvl="0" w:tplc="86923602">
      <w:start w:val="1"/>
      <w:numFmt w:val="decimal"/>
      <w:lvlText w:val="%1."/>
      <w:lvlJc w:val="left"/>
      <w:pPr>
        <w:ind w:left="360" w:hanging="360"/>
      </w:pPr>
      <w:rPr>
        <w:rFonts w:hint="default"/>
        <w:b w:val="0"/>
        <w:bCs/>
        <w:i w:val="0"/>
        <w:i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E45D48"/>
    <w:multiLevelType w:val="hybridMultilevel"/>
    <w:tmpl w:val="B2CA8E74"/>
    <w:lvl w:ilvl="0" w:tplc="365A6E94">
      <w:start w:val="1"/>
      <w:numFmt w:val="decimal"/>
      <w:lvlText w:val="%1."/>
      <w:lvlJc w:val="left"/>
      <w:pPr>
        <w:ind w:left="144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A9701B"/>
    <w:multiLevelType w:val="hybridMultilevel"/>
    <w:tmpl w:val="0B60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162"/>
    <w:multiLevelType w:val="hybridMultilevel"/>
    <w:tmpl w:val="66485F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C90FF6"/>
    <w:multiLevelType w:val="hybridMultilevel"/>
    <w:tmpl w:val="6C06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24D1D"/>
    <w:multiLevelType w:val="hybridMultilevel"/>
    <w:tmpl w:val="1C508702"/>
    <w:lvl w:ilvl="0" w:tplc="AEDA61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07D59"/>
    <w:multiLevelType w:val="hybridMultilevel"/>
    <w:tmpl w:val="1E94785C"/>
    <w:lvl w:ilvl="0" w:tplc="86B09556">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83D4E"/>
    <w:multiLevelType w:val="hybridMultilevel"/>
    <w:tmpl w:val="45C2A0F2"/>
    <w:lvl w:ilvl="0" w:tplc="08090001">
      <w:start w:val="1"/>
      <w:numFmt w:val="bullet"/>
      <w:lvlText w:val=""/>
      <w:lvlJc w:val="left"/>
      <w:pPr>
        <w:ind w:left="720" w:hanging="360"/>
      </w:pPr>
      <w:rPr>
        <w:rFonts w:ascii="Symbol" w:hAnsi="Symbol" w:hint="default"/>
        <w:b w:val="0"/>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0937C8"/>
    <w:multiLevelType w:val="hybridMultilevel"/>
    <w:tmpl w:val="671E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C0157"/>
    <w:multiLevelType w:val="hybridMultilevel"/>
    <w:tmpl w:val="0B8EA56E"/>
    <w:lvl w:ilvl="0" w:tplc="86B09556">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A4ED6"/>
    <w:multiLevelType w:val="hybridMultilevel"/>
    <w:tmpl w:val="6C06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20F8E"/>
    <w:multiLevelType w:val="hybridMultilevel"/>
    <w:tmpl w:val="EDE282CE"/>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5" w15:restartNumberingAfterBreak="0">
    <w:nsid w:val="769D251A"/>
    <w:multiLevelType w:val="hybridMultilevel"/>
    <w:tmpl w:val="3C1C907C"/>
    <w:lvl w:ilvl="0" w:tplc="86B09556">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A428F"/>
    <w:multiLevelType w:val="hybridMultilevel"/>
    <w:tmpl w:val="9E4EBC7C"/>
    <w:lvl w:ilvl="0" w:tplc="8CA04EFE">
      <w:start w:val="1"/>
      <w:numFmt w:val="decimal"/>
      <w:lvlText w:val="%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0"/>
  </w:num>
  <w:num w:numId="4">
    <w:abstractNumId w:val="12"/>
  </w:num>
  <w:num w:numId="5">
    <w:abstractNumId w:val="13"/>
  </w:num>
  <w:num w:numId="6">
    <w:abstractNumId w:val="1"/>
  </w:num>
  <w:num w:numId="7">
    <w:abstractNumId w:val="5"/>
  </w:num>
  <w:num w:numId="8">
    <w:abstractNumId w:val="14"/>
  </w:num>
  <w:num w:numId="9">
    <w:abstractNumId w:val="9"/>
  </w:num>
  <w:num w:numId="10">
    <w:abstractNumId w:val="11"/>
  </w:num>
  <w:num w:numId="11">
    <w:abstractNumId w:val="7"/>
  </w:num>
  <w:num w:numId="12">
    <w:abstractNumId w:val="0"/>
  </w:num>
  <w:num w:numId="13">
    <w:abstractNumId w:val="8"/>
  </w:num>
  <w:num w:numId="14">
    <w:abstractNumId w:val="15"/>
  </w:num>
  <w:num w:numId="15">
    <w:abstractNumId w:val="16"/>
  </w:num>
  <w:num w:numId="16">
    <w:abstractNumId w:val="6"/>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878"/>
    <w:rsid w:val="00010EF1"/>
    <w:rsid w:val="000128D2"/>
    <w:rsid w:val="00012F1A"/>
    <w:rsid w:val="00030CC6"/>
    <w:rsid w:val="00031BD6"/>
    <w:rsid w:val="0004029A"/>
    <w:rsid w:val="00040B9D"/>
    <w:rsid w:val="000474E3"/>
    <w:rsid w:val="00055002"/>
    <w:rsid w:val="000578BB"/>
    <w:rsid w:val="00057B10"/>
    <w:rsid w:val="00060249"/>
    <w:rsid w:val="000602BB"/>
    <w:rsid w:val="0006034E"/>
    <w:rsid w:val="00060956"/>
    <w:rsid w:val="00062F86"/>
    <w:rsid w:val="00063783"/>
    <w:rsid w:val="00071177"/>
    <w:rsid w:val="000720B3"/>
    <w:rsid w:val="00073765"/>
    <w:rsid w:val="0008058C"/>
    <w:rsid w:val="00081155"/>
    <w:rsid w:val="000823F2"/>
    <w:rsid w:val="000909EB"/>
    <w:rsid w:val="000929A6"/>
    <w:rsid w:val="00095FA1"/>
    <w:rsid w:val="000A3CBD"/>
    <w:rsid w:val="000B5015"/>
    <w:rsid w:val="000B788F"/>
    <w:rsid w:val="000B7C66"/>
    <w:rsid w:val="000C496F"/>
    <w:rsid w:val="000D170C"/>
    <w:rsid w:val="000D4E36"/>
    <w:rsid w:val="000E06B1"/>
    <w:rsid w:val="000E235B"/>
    <w:rsid w:val="000E4488"/>
    <w:rsid w:val="000E62FE"/>
    <w:rsid w:val="000F077D"/>
    <w:rsid w:val="00105B8A"/>
    <w:rsid w:val="00111535"/>
    <w:rsid w:val="00114851"/>
    <w:rsid w:val="001161E4"/>
    <w:rsid w:val="00125A26"/>
    <w:rsid w:val="001320D4"/>
    <w:rsid w:val="001472A8"/>
    <w:rsid w:val="0015352D"/>
    <w:rsid w:val="0015376F"/>
    <w:rsid w:val="0015676A"/>
    <w:rsid w:val="0015749E"/>
    <w:rsid w:val="001614E0"/>
    <w:rsid w:val="00162D9F"/>
    <w:rsid w:val="00171BD8"/>
    <w:rsid w:val="00173C72"/>
    <w:rsid w:val="0017653E"/>
    <w:rsid w:val="00182B01"/>
    <w:rsid w:val="001840D2"/>
    <w:rsid w:val="00186E4C"/>
    <w:rsid w:val="001913E1"/>
    <w:rsid w:val="0019553F"/>
    <w:rsid w:val="001966D7"/>
    <w:rsid w:val="001A19AC"/>
    <w:rsid w:val="001B61B0"/>
    <w:rsid w:val="001C10D2"/>
    <w:rsid w:val="001C4D2E"/>
    <w:rsid w:val="001C6602"/>
    <w:rsid w:val="001C7E35"/>
    <w:rsid w:val="001E3C06"/>
    <w:rsid w:val="001F0037"/>
    <w:rsid w:val="001F0BE9"/>
    <w:rsid w:val="001F4106"/>
    <w:rsid w:val="001F5F32"/>
    <w:rsid w:val="00202D79"/>
    <w:rsid w:val="00205D2F"/>
    <w:rsid w:val="0020680C"/>
    <w:rsid w:val="00215E8F"/>
    <w:rsid w:val="002163EC"/>
    <w:rsid w:val="00221A93"/>
    <w:rsid w:val="002322BB"/>
    <w:rsid w:val="00237C4F"/>
    <w:rsid w:val="0024026A"/>
    <w:rsid w:val="00241846"/>
    <w:rsid w:val="00242D8A"/>
    <w:rsid w:val="00243C72"/>
    <w:rsid w:val="00251254"/>
    <w:rsid w:val="002548D1"/>
    <w:rsid w:val="00260392"/>
    <w:rsid w:val="0027283B"/>
    <w:rsid w:val="00273A90"/>
    <w:rsid w:val="002772F1"/>
    <w:rsid w:val="0028019B"/>
    <w:rsid w:val="00282E73"/>
    <w:rsid w:val="002837D4"/>
    <w:rsid w:val="00283CAB"/>
    <w:rsid w:val="0028525A"/>
    <w:rsid w:val="00291F35"/>
    <w:rsid w:val="0029429D"/>
    <w:rsid w:val="0029639F"/>
    <w:rsid w:val="00296AA6"/>
    <w:rsid w:val="002973A8"/>
    <w:rsid w:val="002A2998"/>
    <w:rsid w:val="002A3FEF"/>
    <w:rsid w:val="002A5A5D"/>
    <w:rsid w:val="002A6B81"/>
    <w:rsid w:val="002A7451"/>
    <w:rsid w:val="002B05E8"/>
    <w:rsid w:val="002B54A6"/>
    <w:rsid w:val="002B6F11"/>
    <w:rsid w:val="002B7C93"/>
    <w:rsid w:val="002C0F6F"/>
    <w:rsid w:val="002C6042"/>
    <w:rsid w:val="002D18B6"/>
    <w:rsid w:val="002D3E6D"/>
    <w:rsid w:val="002D5E59"/>
    <w:rsid w:val="002E1F4B"/>
    <w:rsid w:val="002E4AEE"/>
    <w:rsid w:val="002E4F49"/>
    <w:rsid w:val="002E5EAF"/>
    <w:rsid w:val="002F1CA6"/>
    <w:rsid w:val="002F3EE9"/>
    <w:rsid w:val="00304086"/>
    <w:rsid w:val="00305F40"/>
    <w:rsid w:val="0030702F"/>
    <w:rsid w:val="0030741F"/>
    <w:rsid w:val="00307F76"/>
    <w:rsid w:val="00311853"/>
    <w:rsid w:val="0031263F"/>
    <w:rsid w:val="00315144"/>
    <w:rsid w:val="003216B5"/>
    <w:rsid w:val="00321FBB"/>
    <w:rsid w:val="00324CAB"/>
    <w:rsid w:val="0032657D"/>
    <w:rsid w:val="0033000E"/>
    <w:rsid w:val="00330832"/>
    <w:rsid w:val="003313EA"/>
    <w:rsid w:val="00333FAA"/>
    <w:rsid w:val="003355D7"/>
    <w:rsid w:val="00335BAD"/>
    <w:rsid w:val="0035254E"/>
    <w:rsid w:val="003537F7"/>
    <w:rsid w:val="00354BAF"/>
    <w:rsid w:val="0036201C"/>
    <w:rsid w:val="003642BA"/>
    <w:rsid w:val="00365CBC"/>
    <w:rsid w:val="00365CDA"/>
    <w:rsid w:val="00365FA5"/>
    <w:rsid w:val="0036733A"/>
    <w:rsid w:val="00372281"/>
    <w:rsid w:val="00373665"/>
    <w:rsid w:val="0037372E"/>
    <w:rsid w:val="00376615"/>
    <w:rsid w:val="00376768"/>
    <w:rsid w:val="00380F87"/>
    <w:rsid w:val="00385367"/>
    <w:rsid w:val="003920B9"/>
    <w:rsid w:val="003926EB"/>
    <w:rsid w:val="003A3FF3"/>
    <w:rsid w:val="003A4DA3"/>
    <w:rsid w:val="003A7654"/>
    <w:rsid w:val="003B7CB0"/>
    <w:rsid w:val="003C263E"/>
    <w:rsid w:val="003C270D"/>
    <w:rsid w:val="003C39EA"/>
    <w:rsid w:val="003C3DDB"/>
    <w:rsid w:val="003C7EB5"/>
    <w:rsid w:val="003E4B8E"/>
    <w:rsid w:val="003E684C"/>
    <w:rsid w:val="003E7B78"/>
    <w:rsid w:val="003F200F"/>
    <w:rsid w:val="003F3AED"/>
    <w:rsid w:val="003F3AFD"/>
    <w:rsid w:val="00405958"/>
    <w:rsid w:val="004076C8"/>
    <w:rsid w:val="004079B9"/>
    <w:rsid w:val="0041175B"/>
    <w:rsid w:val="0041655D"/>
    <w:rsid w:val="004207E3"/>
    <w:rsid w:val="00421A4C"/>
    <w:rsid w:val="00422407"/>
    <w:rsid w:val="004238C2"/>
    <w:rsid w:val="00430371"/>
    <w:rsid w:val="00435B5D"/>
    <w:rsid w:val="004363F7"/>
    <w:rsid w:val="00436ED2"/>
    <w:rsid w:val="00444AAC"/>
    <w:rsid w:val="0044525C"/>
    <w:rsid w:val="004468C9"/>
    <w:rsid w:val="004475E3"/>
    <w:rsid w:val="00450F96"/>
    <w:rsid w:val="004522E9"/>
    <w:rsid w:val="00454879"/>
    <w:rsid w:val="004553F1"/>
    <w:rsid w:val="00456250"/>
    <w:rsid w:val="0046301A"/>
    <w:rsid w:val="004646FE"/>
    <w:rsid w:val="00466E7D"/>
    <w:rsid w:val="00470644"/>
    <w:rsid w:val="00471C1F"/>
    <w:rsid w:val="00472040"/>
    <w:rsid w:val="004720F9"/>
    <w:rsid w:val="004809FA"/>
    <w:rsid w:val="004915C6"/>
    <w:rsid w:val="00494FCB"/>
    <w:rsid w:val="004A3EE1"/>
    <w:rsid w:val="004A52A0"/>
    <w:rsid w:val="004B09AB"/>
    <w:rsid w:val="004C2A97"/>
    <w:rsid w:val="004C2D09"/>
    <w:rsid w:val="004C4A75"/>
    <w:rsid w:val="004C5B98"/>
    <w:rsid w:val="004D1485"/>
    <w:rsid w:val="004D2520"/>
    <w:rsid w:val="004D2DA0"/>
    <w:rsid w:val="004E14A4"/>
    <w:rsid w:val="004E178D"/>
    <w:rsid w:val="004E35D8"/>
    <w:rsid w:val="004E6CAA"/>
    <w:rsid w:val="004E7479"/>
    <w:rsid w:val="004F1B41"/>
    <w:rsid w:val="004F54BD"/>
    <w:rsid w:val="004F56C5"/>
    <w:rsid w:val="00504B1D"/>
    <w:rsid w:val="00506185"/>
    <w:rsid w:val="00506746"/>
    <w:rsid w:val="0051296A"/>
    <w:rsid w:val="00512B7D"/>
    <w:rsid w:val="00516D50"/>
    <w:rsid w:val="00524EA2"/>
    <w:rsid w:val="005302F9"/>
    <w:rsid w:val="00531C62"/>
    <w:rsid w:val="005354D0"/>
    <w:rsid w:val="0054172C"/>
    <w:rsid w:val="00542A0E"/>
    <w:rsid w:val="0054590F"/>
    <w:rsid w:val="005459EC"/>
    <w:rsid w:val="00555D82"/>
    <w:rsid w:val="00563EA4"/>
    <w:rsid w:val="00566871"/>
    <w:rsid w:val="005718B5"/>
    <w:rsid w:val="00577395"/>
    <w:rsid w:val="005806B7"/>
    <w:rsid w:val="005808FB"/>
    <w:rsid w:val="005811F8"/>
    <w:rsid w:val="00582605"/>
    <w:rsid w:val="00583F6A"/>
    <w:rsid w:val="005842D0"/>
    <w:rsid w:val="00591016"/>
    <w:rsid w:val="00597620"/>
    <w:rsid w:val="005A0A8C"/>
    <w:rsid w:val="005A18EF"/>
    <w:rsid w:val="005A428F"/>
    <w:rsid w:val="005A5B35"/>
    <w:rsid w:val="005B0620"/>
    <w:rsid w:val="005B3461"/>
    <w:rsid w:val="005B3F67"/>
    <w:rsid w:val="005C3CFC"/>
    <w:rsid w:val="005C6F65"/>
    <w:rsid w:val="005C768F"/>
    <w:rsid w:val="005D548F"/>
    <w:rsid w:val="005D5A3D"/>
    <w:rsid w:val="005D6EF5"/>
    <w:rsid w:val="005E0522"/>
    <w:rsid w:val="005E3A10"/>
    <w:rsid w:val="005E7509"/>
    <w:rsid w:val="005F0A1F"/>
    <w:rsid w:val="005F2B91"/>
    <w:rsid w:val="005F5150"/>
    <w:rsid w:val="005F5CF0"/>
    <w:rsid w:val="00601D7F"/>
    <w:rsid w:val="00603214"/>
    <w:rsid w:val="00603CAF"/>
    <w:rsid w:val="0060548C"/>
    <w:rsid w:val="00605A4C"/>
    <w:rsid w:val="00607676"/>
    <w:rsid w:val="00607F6C"/>
    <w:rsid w:val="006113A1"/>
    <w:rsid w:val="0061339F"/>
    <w:rsid w:val="0062045E"/>
    <w:rsid w:val="00633431"/>
    <w:rsid w:val="0064223E"/>
    <w:rsid w:val="00645B8B"/>
    <w:rsid w:val="00655044"/>
    <w:rsid w:val="00657A12"/>
    <w:rsid w:val="0066303E"/>
    <w:rsid w:val="006642DE"/>
    <w:rsid w:val="00666922"/>
    <w:rsid w:val="00670F17"/>
    <w:rsid w:val="006710C7"/>
    <w:rsid w:val="00672BEF"/>
    <w:rsid w:val="00675DD5"/>
    <w:rsid w:val="00682BB1"/>
    <w:rsid w:val="00692907"/>
    <w:rsid w:val="00696A83"/>
    <w:rsid w:val="0069700A"/>
    <w:rsid w:val="00697A5F"/>
    <w:rsid w:val="006C29E1"/>
    <w:rsid w:val="006C580A"/>
    <w:rsid w:val="006C6C9B"/>
    <w:rsid w:val="006C7049"/>
    <w:rsid w:val="006D1114"/>
    <w:rsid w:val="006D1E69"/>
    <w:rsid w:val="006E2223"/>
    <w:rsid w:val="006E3275"/>
    <w:rsid w:val="006E349A"/>
    <w:rsid w:val="006E7EBB"/>
    <w:rsid w:val="006F057C"/>
    <w:rsid w:val="006F11B7"/>
    <w:rsid w:val="006F22DA"/>
    <w:rsid w:val="006F2EB3"/>
    <w:rsid w:val="007007A4"/>
    <w:rsid w:val="007116B1"/>
    <w:rsid w:val="007139EE"/>
    <w:rsid w:val="00714BEE"/>
    <w:rsid w:val="0071650D"/>
    <w:rsid w:val="00717683"/>
    <w:rsid w:val="00721215"/>
    <w:rsid w:val="00722F11"/>
    <w:rsid w:val="00732A20"/>
    <w:rsid w:val="007400CF"/>
    <w:rsid w:val="00761CDD"/>
    <w:rsid w:val="00765487"/>
    <w:rsid w:val="0076722D"/>
    <w:rsid w:val="00777F8E"/>
    <w:rsid w:val="00781B46"/>
    <w:rsid w:val="00790DB4"/>
    <w:rsid w:val="00791FDC"/>
    <w:rsid w:val="007A17B7"/>
    <w:rsid w:val="007A657B"/>
    <w:rsid w:val="007B23FC"/>
    <w:rsid w:val="007B2C7A"/>
    <w:rsid w:val="007B5B1B"/>
    <w:rsid w:val="007D0C1D"/>
    <w:rsid w:val="007D2000"/>
    <w:rsid w:val="007D4DBF"/>
    <w:rsid w:val="007D4FC4"/>
    <w:rsid w:val="007D7896"/>
    <w:rsid w:val="007E4732"/>
    <w:rsid w:val="007E4BA4"/>
    <w:rsid w:val="007F004E"/>
    <w:rsid w:val="007F335A"/>
    <w:rsid w:val="00803104"/>
    <w:rsid w:val="00806527"/>
    <w:rsid w:val="0080698D"/>
    <w:rsid w:val="00812901"/>
    <w:rsid w:val="00814C97"/>
    <w:rsid w:val="00816480"/>
    <w:rsid w:val="00826B9A"/>
    <w:rsid w:val="00831F94"/>
    <w:rsid w:val="00842757"/>
    <w:rsid w:val="00842F0C"/>
    <w:rsid w:val="00843CC2"/>
    <w:rsid w:val="008475DA"/>
    <w:rsid w:val="0085118A"/>
    <w:rsid w:val="0085266D"/>
    <w:rsid w:val="00852FCA"/>
    <w:rsid w:val="00863A06"/>
    <w:rsid w:val="00864F2C"/>
    <w:rsid w:val="00866C3A"/>
    <w:rsid w:val="00871424"/>
    <w:rsid w:val="00880C0F"/>
    <w:rsid w:val="00883048"/>
    <w:rsid w:val="008A19B9"/>
    <w:rsid w:val="008A5AA0"/>
    <w:rsid w:val="008D600B"/>
    <w:rsid w:val="008E224D"/>
    <w:rsid w:val="00902F7B"/>
    <w:rsid w:val="00907B31"/>
    <w:rsid w:val="00914122"/>
    <w:rsid w:val="00922E94"/>
    <w:rsid w:val="0092530B"/>
    <w:rsid w:val="00932343"/>
    <w:rsid w:val="009341A6"/>
    <w:rsid w:val="0094208C"/>
    <w:rsid w:val="00942F17"/>
    <w:rsid w:val="00943236"/>
    <w:rsid w:val="00952CEF"/>
    <w:rsid w:val="00953038"/>
    <w:rsid w:val="00955421"/>
    <w:rsid w:val="00963E72"/>
    <w:rsid w:val="00966A19"/>
    <w:rsid w:val="00977C96"/>
    <w:rsid w:val="00981AE4"/>
    <w:rsid w:val="0098234B"/>
    <w:rsid w:val="00990E9C"/>
    <w:rsid w:val="00994542"/>
    <w:rsid w:val="00994908"/>
    <w:rsid w:val="009A21FB"/>
    <w:rsid w:val="009A4C38"/>
    <w:rsid w:val="009A4F16"/>
    <w:rsid w:val="009A776F"/>
    <w:rsid w:val="009B06BE"/>
    <w:rsid w:val="009B160B"/>
    <w:rsid w:val="009B3DEB"/>
    <w:rsid w:val="009C0A90"/>
    <w:rsid w:val="009C2150"/>
    <w:rsid w:val="009C237B"/>
    <w:rsid w:val="009C4DD1"/>
    <w:rsid w:val="009C5607"/>
    <w:rsid w:val="009C5C48"/>
    <w:rsid w:val="009D6465"/>
    <w:rsid w:val="009E5A93"/>
    <w:rsid w:val="009F0073"/>
    <w:rsid w:val="009F3154"/>
    <w:rsid w:val="009F57AF"/>
    <w:rsid w:val="009F616C"/>
    <w:rsid w:val="00A1211C"/>
    <w:rsid w:val="00A13158"/>
    <w:rsid w:val="00A16861"/>
    <w:rsid w:val="00A20113"/>
    <w:rsid w:val="00A20D78"/>
    <w:rsid w:val="00A216E2"/>
    <w:rsid w:val="00A2215F"/>
    <w:rsid w:val="00A22839"/>
    <w:rsid w:val="00A23E19"/>
    <w:rsid w:val="00A2443A"/>
    <w:rsid w:val="00A2598E"/>
    <w:rsid w:val="00A31774"/>
    <w:rsid w:val="00A32004"/>
    <w:rsid w:val="00A33185"/>
    <w:rsid w:val="00A41383"/>
    <w:rsid w:val="00A41867"/>
    <w:rsid w:val="00A45683"/>
    <w:rsid w:val="00A53B04"/>
    <w:rsid w:val="00A53D69"/>
    <w:rsid w:val="00A56684"/>
    <w:rsid w:val="00A63F5E"/>
    <w:rsid w:val="00A661F4"/>
    <w:rsid w:val="00A66326"/>
    <w:rsid w:val="00A7121F"/>
    <w:rsid w:val="00A724FE"/>
    <w:rsid w:val="00A7271A"/>
    <w:rsid w:val="00A74D79"/>
    <w:rsid w:val="00A74E57"/>
    <w:rsid w:val="00A8123F"/>
    <w:rsid w:val="00A81E19"/>
    <w:rsid w:val="00A849FC"/>
    <w:rsid w:val="00A84FF5"/>
    <w:rsid w:val="00A9193F"/>
    <w:rsid w:val="00A959AE"/>
    <w:rsid w:val="00A9723B"/>
    <w:rsid w:val="00AB00BA"/>
    <w:rsid w:val="00AB4891"/>
    <w:rsid w:val="00AB69CF"/>
    <w:rsid w:val="00AB77B5"/>
    <w:rsid w:val="00AB795F"/>
    <w:rsid w:val="00AC41A8"/>
    <w:rsid w:val="00AC6312"/>
    <w:rsid w:val="00AC6920"/>
    <w:rsid w:val="00AD1E77"/>
    <w:rsid w:val="00AD23F6"/>
    <w:rsid w:val="00AD3EE6"/>
    <w:rsid w:val="00AD6D80"/>
    <w:rsid w:val="00AE2E8A"/>
    <w:rsid w:val="00AF3253"/>
    <w:rsid w:val="00AF4F1D"/>
    <w:rsid w:val="00AF79B4"/>
    <w:rsid w:val="00B0035E"/>
    <w:rsid w:val="00B03665"/>
    <w:rsid w:val="00B05A6A"/>
    <w:rsid w:val="00B1160D"/>
    <w:rsid w:val="00B11B27"/>
    <w:rsid w:val="00B139FB"/>
    <w:rsid w:val="00B21CFA"/>
    <w:rsid w:val="00B35C8F"/>
    <w:rsid w:val="00B40C9E"/>
    <w:rsid w:val="00B444E6"/>
    <w:rsid w:val="00B52011"/>
    <w:rsid w:val="00B53EFF"/>
    <w:rsid w:val="00B54AFA"/>
    <w:rsid w:val="00B6023F"/>
    <w:rsid w:val="00B60D42"/>
    <w:rsid w:val="00B62C8D"/>
    <w:rsid w:val="00B671A4"/>
    <w:rsid w:val="00B804E8"/>
    <w:rsid w:val="00B81C78"/>
    <w:rsid w:val="00B90053"/>
    <w:rsid w:val="00B90298"/>
    <w:rsid w:val="00B9106B"/>
    <w:rsid w:val="00B918FF"/>
    <w:rsid w:val="00B95677"/>
    <w:rsid w:val="00B96815"/>
    <w:rsid w:val="00BA0541"/>
    <w:rsid w:val="00BA139C"/>
    <w:rsid w:val="00BA1843"/>
    <w:rsid w:val="00BA302C"/>
    <w:rsid w:val="00BB3657"/>
    <w:rsid w:val="00BB61A3"/>
    <w:rsid w:val="00BC206C"/>
    <w:rsid w:val="00BC431A"/>
    <w:rsid w:val="00BC4ED9"/>
    <w:rsid w:val="00BC52A3"/>
    <w:rsid w:val="00BD1871"/>
    <w:rsid w:val="00BE09D2"/>
    <w:rsid w:val="00BE0E17"/>
    <w:rsid w:val="00BE193A"/>
    <w:rsid w:val="00BF5AFA"/>
    <w:rsid w:val="00C01A35"/>
    <w:rsid w:val="00C03772"/>
    <w:rsid w:val="00C04EDA"/>
    <w:rsid w:val="00C118E5"/>
    <w:rsid w:val="00C119A2"/>
    <w:rsid w:val="00C150EB"/>
    <w:rsid w:val="00C17DD4"/>
    <w:rsid w:val="00C2120C"/>
    <w:rsid w:val="00C22791"/>
    <w:rsid w:val="00C2345B"/>
    <w:rsid w:val="00C3037B"/>
    <w:rsid w:val="00C42DB5"/>
    <w:rsid w:val="00C53F1A"/>
    <w:rsid w:val="00C55501"/>
    <w:rsid w:val="00C57267"/>
    <w:rsid w:val="00C60B9B"/>
    <w:rsid w:val="00C616FF"/>
    <w:rsid w:val="00C62923"/>
    <w:rsid w:val="00C62B63"/>
    <w:rsid w:val="00C702FC"/>
    <w:rsid w:val="00C70920"/>
    <w:rsid w:val="00C70F19"/>
    <w:rsid w:val="00C72B5B"/>
    <w:rsid w:val="00C73E71"/>
    <w:rsid w:val="00C77A7C"/>
    <w:rsid w:val="00C80292"/>
    <w:rsid w:val="00C81744"/>
    <w:rsid w:val="00C82655"/>
    <w:rsid w:val="00C869F3"/>
    <w:rsid w:val="00C92EC7"/>
    <w:rsid w:val="00C93E23"/>
    <w:rsid w:val="00CA2036"/>
    <w:rsid w:val="00CA3CAE"/>
    <w:rsid w:val="00CC18AC"/>
    <w:rsid w:val="00CC3D7D"/>
    <w:rsid w:val="00CD033D"/>
    <w:rsid w:val="00CD03B7"/>
    <w:rsid w:val="00CD0BFF"/>
    <w:rsid w:val="00CD23C6"/>
    <w:rsid w:val="00CD2CCF"/>
    <w:rsid w:val="00CD4A0B"/>
    <w:rsid w:val="00CD567E"/>
    <w:rsid w:val="00CD7D5D"/>
    <w:rsid w:val="00CF0621"/>
    <w:rsid w:val="00CF0FC4"/>
    <w:rsid w:val="00CF4547"/>
    <w:rsid w:val="00CF54CE"/>
    <w:rsid w:val="00CF5A8F"/>
    <w:rsid w:val="00CF6932"/>
    <w:rsid w:val="00CF7709"/>
    <w:rsid w:val="00D01FE3"/>
    <w:rsid w:val="00D0381E"/>
    <w:rsid w:val="00D06CA3"/>
    <w:rsid w:val="00D07F46"/>
    <w:rsid w:val="00D16397"/>
    <w:rsid w:val="00D170E5"/>
    <w:rsid w:val="00D21BDC"/>
    <w:rsid w:val="00D23D3B"/>
    <w:rsid w:val="00D37957"/>
    <w:rsid w:val="00D37F2F"/>
    <w:rsid w:val="00D415B9"/>
    <w:rsid w:val="00D51353"/>
    <w:rsid w:val="00D528E8"/>
    <w:rsid w:val="00D55C96"/>
    <w:rsid w:val="00D62F02"/>
    <w:rsid w:val="00D6365D"/>
    <w:rsid w:val="00D71E6C"/>
    <w:rsid w:val="00D771D0"/>
    <w:rsid w:val="00D835CF"/>
    <w:rsid w:val="00D856F9"/>
    <w:rsid w:val="00D8651B"/>
    <w:rsid w:val="00D90EA8"/>
    <w:rsid w:val="00D936F6"/>
    <w:rsid w:val="00D94D7D"/>
    <w:rsid w:val="00DA176F"/>
    <w:rsid w:val="00DA21A0"/>
    <w:rsid w:val="00DA26FB"/>
    <w:rsid w:val="00DA36BE"/>
    <w:rsid w:val="00DA5269"/>
    <w:rsid w:val="00DA75B1"/>
    <w:rsid w:val="00DB09E1"/>
    <w:rsid w:val="00DB165F"/>
    <w:rsid w:val="00DB3803"/>
    <w:rsid w:val="00DB6C3D"/>
    <w:rsid w:val="00DB7FB9"/>
    <w:rsid w:val="00DC5ACF"/>
    <w:rsid w:val="00DC735B"/>
    <w:rsid w:val="00DD3573"/>
    <w:rsid w:val="00DD71AD"/>
    <w:rsid w:val="00DD7468"/>
    <w:rsid w:val="00DD7F4D"/>
    <w:rsid w:val="00DE25E9"/>
    <w:rsid w:val="00DE2C13"/>
    <w:rsid w:val="00DE71D3"/>
    <w:rsid w:val="00DE72CF"/>
    <w:rsid w:val="00DF08A0"/>
    <w:rsid w:val="00DF4F9C"/>
    <w:rsid w:val="00DF7A65"/>
    <w:rsid w:val="00E009C9"/>
    <w:rsid w:val="00E03958"/>
    <w:rsid w:val="00E03FE5"/>
    <w:rsid w:val="00E06C34"/>
    <w:rsid w:val="00E107E9"/>
    <w:rsid w:val="00E13BEF"/>
    <w:rsid w:val="00E14F5E"/>
    <w:rsid w:val="00E170B6"/>
    <w:rsid w:val="00E21A39"/>
    <w:rsid w:val="00E442C5"/>
    <w:rsid w:val="00E56EC9"/>
    <w:rsid w:val="00E6312B"/>
    <w:rsid w:val="00E648A1"/>
    <w:rsid w:val="00E66E3E"/>
    <w:rsid w:val="00E70760"/>
    <w:rsid w:val="00E7124B"/>
    <w:rsid w:val="00E74BBF"/>
    <w:rsid w:val="00E752B7"/>
    <w:rsid w:val="00E774EB"/>
    <w:rsid w:val="00E84CF3"/>
    <w:rsid w:val="00E905A1"/>
    <w:rsid w:val="00E906D6"/>
    <w:rsid w:val="00E9086C"/>
    <w:rsid w:val="00E9253C"/>
    <w:rsid w:val="00E9561E"/>
    <w:rsid w:val="00EA5C83"/>
    <w:rsid w:val="00EA7657"/>
    <w:rsid w:val="00EB0AAB"/>
    <w:rsid w:val="00EB3CF0"/>
    <w:rsid w:val="00EB40E3"/>
    <w:rsid w:val="00EB45B5"/>
    <w:rsid w:val="00EB5E57"/>
    <w:rsid w:val="00EB61DB"/>
    <w:rsid w:val="00EB68F8"/>
    <w:rsid w:val="00EB7CCB"/>
    <w:rsid w:val="00EC3A02"/>
    <w:rsid w:val="00EC6DA5"/>
    <w:rsid w:val="00ED1AD0"/>
    <w:rsid w:val="00ED4AFD"/>
    <w:rsid w:val="00ED6776"/>
    <w:rsid w:val="00EE24ED"/>
    <w:rsid w:val="00EE3305"/>
    <w:rsid w:val="00EE3C37"/>
    <w:rsid w:val="00EE4FBE"/>
    <w:rsid w:val="00EE5DE6"/>
    <w:rsid w:val="00EE7106"/>
    <w:rsid w:val="00EF44D9"/>
    <w:rsid w:val="00EF688B"/>
    <w:rsid w:val="00F038A1"/>
    <w:rsid w:val="00F04FD7"/>
    <w:rsid w:val="00F0537D"/>
    <w:rsid w:val="00F05520"/>
    <w:rsid w:val="00F06E4E"/>
    <w:rsid w:val="00F13037"/>
    <w:rsid w:val="00F133B5"/>
    <w:rsid w:val="00F21CBC"/>
    <w:rsid w:val="00F238E0"/>
    <w:rsid w:val="00F343D1"/>
    <w:rsid w:val="00F35EA6"/>
    <w:rsid w:val="00F3619C"/>
    <w:rsid w:val="00F4072D"/>
    <w:rsid w:val="00F437E0"/>
    <w:rsid w:val="00F47D4C"/>
    <w:rsid w:val="00F47E96"/>
    <w:rsid w:val="00F51BE8"/>
    <w:rsid w:val="00F51E01"/>
    <w:rsid w:val="00F53631"/>
    <w:rsid w:val="00F5649A"/>
    <w:rsid w:val="00F62ABE"/>
    <w:rsid w:val="00F63B33"/>
    <w:rsid w:val="00F66023"/>
    <w:rsid w:val="00F679F4"/>
    <w:rsid w:val="00F67DC5"/>
    <w:rsid w:val="00F7378B"/>
    <w:rsid w:val="00F807B1"/>
    <w:rsid w:val="00F82342"/>
    <w:rsid w:val="00F877DB"/>
    <w:rsid w:val="00F91AE4"/>
    <w:rsid w:val="00F9382C"/>
    <w:rsid w:val="00F93C8B"/>
    <w:rsid w:val="00F959DD"/>
    <w:rsid w:val="00F960D5"/>
    <w:rsid w:val="00F96DB8"/>
    <w:rsid w:val="00FA568A"/>
    <w:rsid w:val="00FB1231"/>
    <w:rsid w:val="00FB2113"/>
    <w:rsid w:val="00FB5D49"/>
    <w:rsid w:val="00FB63E7"/>
    <w:rsid w:val="00FC0BB3"/>
    <w:rsid w:val="00FC1C5C"/>
    <w:rsid w:val="00FC39F1"/>
    <w:rsid w:val="00FC4657"/>
    <w:rsid w:val="00FC518E"/>
    <w:rsid w:val="00FC67BB"/>
    <w:rsid w:val="00FD7242"/>
    <w:rsid w:val="00FE17E2"/>
    <w:rsid w:val="00FF0C0B"/>
    <w:rsid w:val="00FF1F39"/>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5F2B91"/>
    <w:rPr>
      <w:rFonts w:ascii="Arial" w:hAnsi="Arial"/>
      <w:sz w:val="24"/>
      <w:lang w:eastAsia="en-US"/>
    </w:rPr>
  </w:style>
  <w:style w:type="paragraph" w:customStyle="1" w:styleId="Default">
    <w:name w:val="Default"/>
    <w:rsid w:val="00C93E2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92907"/>
    <w:rPr>
      <w:sz w:val="16"/>
      <w:szCs w:val="16"/>
    </w:rPr>
  </w:style>
  <w:style w:type="paragraph" w:styleId="CommentText">
    <w:name w:val="annotation text"/>
    <w:basedOn w:val="Normal"/>
    <w:link w:val="CommentTextChar"/>
    <w:unhideWhenUsed/>
    <w:rsid w:val="00692907"/>
    <w:rPr>
      <w:sz w:val="20"/>
    </w:rPr>
  </w:style>
  <w:style w:type="character" w:customStyle="1" w:styleId="CommentTextChar">
    <w:name w:val="Comment Text Char"/>
    <w:basedOn w:val="DefaultParagraphFont"/>
    <w:link w:val="CommentText"/>
    <w:rsid w:val="00692907"/>
    <w:rPr>
      <w:rFonts w:ascii="Arial" w:hAnsi="Arial"/>
      <w:lang w:eastAsia="en-US"/>
    </w:rPr>
  </w:style>
  <w:style w:type="paragraph" w:styleId="CommentSubject">
    <w:name w:val="annotation subject"/>
    <w:basedOn w:val="CommentText"/>
    <w:next w:val="CommentText"/>
    <w:link w:val="CommentSubjectChar"/>
    <w:semiHidden/>
    <w:unhideWhenUsed/>
    <w:rsid w:val="00692907"/>
    <w:rPr>
      <w:b/>
      <w:bCs/>
    </w:rPr>
  </w:style>
  <w:style w:type="character" w:customStyle="1" w:styleId="CommentSubjectChar">
    <w:name w:val="Comment Subject Char"/>
    <w:basedOn w:val="CommentTextChar"/>
    <w:link w:val="CommentSubject"/>
    <w:semiHidden/>
    <w:rsid w:val="0069290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149276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39056651">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52053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6987218">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76301186">
      <w:bodyDiv w:val="1"/>
      <w:marLeft w:val="0"/>
      <w:marRight w:val="0"/>
      <w:marTop w:val="0"/>
      <w:marBottom w:val="0"/>
      <w:divBdr>
        <w:top w:val="none" w:sz="0" w:space="0" w:color="auto"/>
        <w:left w:val="none" w:sz="0" w:space="0" w:color="auto"/>
        <w:bottom w:val="none" w:sz="0" w:space="0" w:color="auto"/>
        <w:right w:val="none" w:sz="0" w:space="0" w:color="auto"/>
      </w:divBdr>
    </w:div>
    <w:div w:id="20581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ya.ganatra@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7" ma:contentTypeDescription="Create a new document." ma:contentTypeScope="" ma:versionID="d5a43b35401f80131803e6d1d6a9b7fc">
  <xsd:schema xmlns:xsd="http://www.w3.org/2001/XMLSchema" xmlns:xs="http://www.w3.org/2001/XMLSchema" xmlns:p="http://schemas.microsoft.com/office/2006/metadata/properties" xmlns:ns3="e5a9eb36-442d-4659-a17a-61b98045b592" targetNamespace="http://schemas.microsoft.com/office/2006/metadata/properties" ma:root="true" ma:fieldsID="49585a0d95f1d2a3ad61f8913422c97f"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24CB6562-E1E5-463A-BED5-5C2EE8C6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BCF4F9-6B05-4639-AB68-EBD78498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3850</Words>
  <Characters>20773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2022-02-02T10:34:00Z</dcterms:created>
  <dcterms:modified xsi:type="dcterms:W3CDTF">2022-02-02T10:37:00Z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108;#Cabinet Report Template|b79b58f4-03f4-47dd-bec7-7bae4bc4af23</vt:lpwstr>
  </property>
</Properties>
</file>